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8F" w:rsidRPr="003F468F" w:rsidRDefault="003F468F" w:rsidP="003F468F">
      <w:pPr>
        <w:pStyle w:val="Heading1"/>
        <w:rPr>
          <w:rFonts w:asciiTheme="minorHAnsi" w:hAnsiTheme="minorHAnsi"/>
          <w:b/>
          <w:sz w:val="28"/>
          <w:szCs w:val="28"/>
          <w:lang w:val="fr-FR"/>
        </w:rPr>
      </w:pPr>
      <w:r w:rsidRPr="003F468F">
        <w:rPr>
          <w:rFonts w:asciiTheme="minorHAnsi" w:hAnsiTheme="minorHAnsi"/>
          <w:b/>
          <w:sz w:val="28"/>
          <w:szCs w:val="28"/>
          <w:lang w:val="fr-FR"/>
        </w:rPr>
        <w:t xml:space="preserve">Microévaluation du HACT - Aperçu général des modifications en 2016 </w:t>
      </w:r>
    </w:p>
    <w:p w:rsidR="00CD4035" w:rsidRPr="003F468F" w:rsidRDefault="00CD4035" w:rsidP="00BD61C0">
      <w:pPr>
        <w:pStyle w:val="Heading1"/>
        <w:spacing w:before="0" w:after="0"/>
        <w:rPr>
          <w:rFonts w:asciiTheme="minorHAnsi" w:hAnsiTheme="minorHAnsi"/>
          <w:b/>
          <w:sz w:val="28"/>
          <w:szCs w:val="28"/>
          <w:lang w:val="fr-FR"/>
        </w:rPr>
      </w:pPr>
    </w:p>
    <w:p w:rsidR="00DA3807" w:rsidRPr="008865F7" w:rsidRDefault="003F468F" w:rsidP="009A1287">
      <w:pPr>
        <w:pStyle w:val="Heading1"/>
        <w:spacing w:before="120"/>
        <w:rPr>
          <w:rFonts w:asciiTheme="minorHAnsi" w:hAnsiTheme="minorHAnsi"/>
          <w:sz w:val="20"/>
          <w:szCs w:val="20"/>
          <w:lang w:val="fr-FR"/>
        </w:rPr>
      </w:pPr>
      <w:r>
        <w:rPr>
          <w:rFonts w:asciiTheme="minorHAnsi" w:hAnsiTheme="minorHAnsi"/>
          <w:sz w:val="20"/>
          <w:szCs w:val="20"/>
          <w:lang w:val="fr-FR"/>
        </w:rPr>
        <w:t>Contexte</w:t>
      </w:r>
    </w:p>
    <w:p w:rsidR="00DA3807" w:rsidRPr="003F468F" w:rsidRDefault="008865F7" w:rsidP="00BD61C0">
      <w:pPr>
        <w:spacing w:after="120"/>
        <w:rPr>
          <w:rFonts w:asciiTheme="minorHAnsi" w:hAnsiTheme="minorHAnsi"/>
          <w:sz w:val="20"/>
          <w:szCs w:val="20"/>
          <w:lang w:val="fr-FR" w:eastAsia="en-GB"/>
        </w:rPr>
      </w:pPr>
      <w:r w:rsidRPr="008865F7">
        <w:rPr>
          <w:rFonts w:asciiTheme="minorHAnsi" w:eastAsia="Times New Roman" w:hAnsiTheme="minorHAnsi" w:cs="Times New Roman"/>
          <w:color w:val="222222"/>
          <w:sz w:val="20"/>
          <w:szCs w:val="20"/>
          <w:lang w:val="fr-FR"/>
        </w:rPr>
        <w:t>La version  2014</w:t>
      </w:r>
      <w:r w:rsidR="003F468F">
        <w:rPr>
          <w:rFonts w:asciiTheme="minorHAnsi" w:eastAsia="Times New Roman" w:hAnsiTheme="minorHAnsi" w:cs="Times New Roman"/>
          <w:color w:val="222222"/>
          <w:sz w:val="20"/>
          <w:szCs w:val="20"/>
          <w:lang w:val="fr-FR"/>
        </w:rPr>
        <w:t xml:space="preserve"> du </w:t>
      </w:r>
      <w:hyperlink r:id="rId12" w:history="1">
        <w:r w:rsidRPr="008865F7">
          <w:rPr>
            <w:rStyle w:val="Hyperlink"/>
            <w:rFonts w:asciiTheme="minorHAnsi" w:eastAsia="Times New Roman" w:hAnsiTheme="minorHAnsi" w:cs="Times New Roman"/>
            <w:sz w:val="20"/>
            <w:szCs w:val="20"/>
            <w:lang w:val="fr-FR"/>
          </w:rPr>
          <w:t xml:space="preserve">cadre </w:t>
        </w:r>
        <w:r w:rsidR="00E00574">
          <w:rPr>
            <w:rStyle w:val="Hyperlink"/>
            <w:rFonts w:asciiTheme="minorHAnsi" w:eastAsia="Times New Roman" w:hAnsiTheme="minorHAnsi" w:cs="Times New Roman"/>
            <w:sz w:val="20"/>
            <w:szCs w:val="20"/>
            <w:lang w:val="fr-FR"/>
          </w:rPr>
          <w:t xml:space="preserve">pour l’Approche Harmonisée de Remise d’Espèces aux Partenaires d’Exécution </w:t>
        </w:r>
        <w:r w:rsidRPr="008865F7">
          <w:rPr>
            <w:rStyle w:val="Hyperlink"/>
            <w:rFonts w:asciiTheme="minorHAnsi" w:eastAsia="Times New Roman" w:hAnsiTheme="minorHAnsi" w:cs="Times New Roman"/>
            <w:sz w:val="20"/>
            <w:szCs w:val="20"/>
            <w:lang w:val="fr-FR"/>
          </w:rPr>
          <w:t xml:space="preserve"> (HACT) </w:t>
        </w:r>
      </w:hyperlink>
      <w:r w:rsidR="003F468F" w:rsidRPr="008865F7">
        <w:rPr>
          <w:rFonts w:asciiTheme="minorHAnsi" w:eastAsia="Times New Roman" w:hAnsiTheme="minorHAnsi" w:cs="Times New Roman"/>
          <w:color w:val="222222"/>
          <w:sz w:val="20"/>
          <w:szCs w:val="20"/>
          <w:lang w:val="fr-FR"/>
        </w:rPr>
        <w:t>approuvé</w:t>
      </w:r>
      <w:r w:rsidR="00472235">
        <w:rPr>
          <w:rFonts w:asciiTheme="minorHAnsi" w:eastAsia="Times New Roman" w:hAnsiTheme="minorHAnsi" w:cs="Times New Roman"/>
          <w:color w:val="222222"/>
          <w:sz w:val="20"/>
          <w:szCs w:val="20"/>
          <w:lang w:val="fr-FR"/>
        </w:rPr>
        <w:t>e</w:t>
      </w:r>
      <w:r w:rsidR="003F468F" w:rsidRPr="008865F7">
        <w:rPr>
          <w:rFonts w:asciiTheme="minorHAnsi" w:eastAsia="Times New Roman" w:hAnsiTheme="minorHAnsi" w:cs="Times New Roman"/>
          <w:color w:val="222222"/>
          <w:sz w:val="20"/>
          <w:szCs w:val="20"/>
          <w:lang w:val="fr-FR"/>
        </w:rPr>
        <w:t xml:space="preserve"> et révisé</w:t>
      </w:r>
      <w:r w:rsidR="00472235">
        <w:rPr>
          <w:rFonts w:asciiTheme="minorHAnsi" w:eastAsia="Times New Roman" w:hAnsiTheme="minorHAnsi" w:cs="Times New Roman"/>
          <w:color w:val="222222"/>
          <w:sz w:val="20"/>
          <w:szCs w:val="20"/>
          <w:lang w:val="fr-FR"/>
        </w:rPr>
        <w:t>e</w:t>
      </w:r>
      <w:r w:rsidR="003F468F" w:rsidRPr="008865F7">
        <w:rPr>
          <w:rFonts w:asciiTheme="minorHAnsi" w:eastAsia="Times New Roman" w:hAnsiTheme="minorHAnsi" w:cs="Times New Roman"/>
          <w:color w:val="222222"/>
          <w:sz w:val="20"/>
          <w:szCs w:val="20"/>
          <w:lang w:val="fr-FR"/>
        </w:rPr>
        <w:t xml:space="preserve"> par </w:t>
      </w:r>
      <w:r w:rsidR="004740A4" w:rsidRPr="008865F7">
        <w:rPr>
          <w:rFonts w:asciiTheme="minorHAnsi" w:eastAsia="Times New Roman" w:hAnsiTheme="minorHAnsi" w:cs="Times New Roman"/>
          <w:color w:val="222222"/>
          <w:sz w:val="20"/>
          <w:szCs w:val="20"/>
          <w:lang w:val="fr-FR"/>
        </w:rPr>
        <w:t>l’UNDG</w:t>
      </w:r>
      <w:r w:rsidR="00680482" w:rsidRPr="00680482">
        <w:rPr>
          <w:rFonts w:asciiTheme="minorHAnsi" w:eastAsia="Times New Roman" w:hAnsiTheme="minorHAnsi" w:cs="Times New Roman"/>
          <w:color w:val="222222"/>
          <w:sz w:val="20"/>
          <w:szCs w:val="20"/>
          <w:lang w:val="fr-FR"/>
        </w:rPr>
        <w:t xml:space="preserve"> </w:t>
      </w:r>
      <w:r w:rsidR="003F468F" w:rsidRPr="008865F7">
        <w:rPr>
          <w:rFonts w:asciiTheme="minorHAnsi" w:eastAsia="Times New Roman" w:hAnsiTheme="minorHAnsi" w:cs="Times New Roman"/>
          <w:color w:val="222222"/>
          <w:sz w:val="20"/>
          <w:szCs w:val="20"/>
          <w:lang w:val="fr-FR"/>
        </w:rPr>
        <w:t>a été adoptée par L'UNICEF, le PNUD et l’UNFPA. La microévaluation de la capacité de gestion financière des partenaires d'exécution fait partie des processus du cadre HACT. Au cours de la première année d'application, les agences ont identifié la nécessité d'améliorer la méthodologie de microévaluation</w:t>
      </w:r>
      <w:r w:rsidR="005A1073" w:rsidRPr="003F468F">
        <w:rPr>
          <w:rFonts w:asciiTheme="minorHAnsi" w:eastAsia="Times New Roman" w:hAnsiTheme="minorHAnsi" w:cs="Times New Roman"/>
          <w:color w:val="222222"/>
          <w:sz w:val="20"/>
          <w:szCs w:val="20"/>
          <w:lang w:val="fr-FR"/>
        </w:rPr>
        <w:t>.</w:t>
      </w:r>
    </w:p>
    <w:p w:rsidR="00207D61" w:rsidRPr="008F59F0" w:rsidRDefault="003F468F" w:rsidP="009A1287">
      <w:pPr>
        <w:pStyle w:val="Heading1"/>
        <w:spacing w:before="0"/>
        <w:rPr>
          <w:rFonts w:asciiTheme="minorHAnsi" w:hAnsiTheme="minorHAnsi"/>
          <w:b/>
          <w:sz w:val="20"/>
          <w:szCs w:val="20"/>
          <w:lang w:val="fr-FR"/>
        </w:rPr>
      </w:pPr>
      <w:r w:rsidRPr="008F59F0">
        <w:rPr>
          <w:rFonts w:asciiTheme="minorHAnsi" w:hAnsiTheme="minorHAnsi"/>
          <w:sz w:val="20"/>
          <w:szCs w:val="20"/>
          <w:lang w:val="fr-FR"/>
        </w:rPr>
        <w:t>Justification</w:t>
      </w:r>
    </w:p>
    <w:p w:rsidR="00105221" w:rsidRPr="008F59F0" w:rsidRDefault="00360C3E" w:rsidP="00105221">
      <w:pPr>
        <w:shd w:val="clear" w:color="auto" w:fill="FFFFFF"/>
        <w:rPr>
          <w:rFonts w:asciiTheme="minorHAnsi" w:eastAsia="Times New Roman" w:hAnsiTheme="minorHAnsi" w:cs="Times New Roman"/>
          <w:color w:val="222222"/>
          <w:sz w:val="20"/>
          <w:szCs w:val="20"/>
          <w:lang w:val="fr-FR"/>
        </w:rPr>
      </w:pPr>
      <w:r>
        <w:rPr>
          <w:rFonts w:asciiTheme="minorHAnsi" w:eastAsia="Times New Roman" w:hAnsiTheme="minorHAnsi" w:cs="Times New Roman"/>
          <w:color w:val="222222"/>
          <w:sz w:val="20"/>
          <w:szCs w:val="20"/>
          <w:lang w:val="fr-FR"/>
        </w:rPr>
        <w:t xml:space="preserve">Des </w:t>
      </w:r>
      <w:r w:rsidR="008F59F0" w:rsidRPr="008F59F0">
        <w:rPr>
          <w:rFonts w:asciiTheme="minorHAnsi" w:eastAsia="Times New Roman" w:hAnsiTheme="minorHAnsi" w:cs="Times New Roman"/>
          <w:color w:val="222222"/>
          <w:sz w:val="20"/>
          <w:szCs w:val="20"/>
          <w:lang w:val="fr-FR"/>
        </w:rPr>
        <w:t>amélioration</w:t>
      </w:r>
      <w:r>
        <w:rPr>
          <w:rFonts w:asciiTheme="minorHAnsi" w:eastAsia="Times New Roman" w:hAnsiTheme="minorHAnsi" w:cs="Times New Roman"/>
          <w:color w:val="222222"/>
          <w:sz w:val="20"/>
          <w:szCs w:val="20"/>
          <w:lang w:val="fr-FR"/>
        </w:rPr>
        <w:t>s</w:t>
      </w:r>
      <w:r w:rsidR="008F59F0" w:rsidRPr="008F59F0">
        <w:rPr>
          <w:rFonts w:asciiTheme="minorHAnsi" w:eastAsia="Times New Roman" w:hAnsiTheme="minorHAnsi" w:cs="Times New Roman"/>
          <w:color w:val="222222"/>
          <w:sz w:val="20"/>
          <w:szCs w:val="20"/>
          <w:lang w:val="fr-FR"/>
        </w:rPr>
        <w:t xml:space="preserve"> de la méthodologie de </w:t>
      </w:r>
      <w:proofErr w:type="spellStart"/>
      <w:r w:rsidR="008F59F0" w:rsidRPr="008F59F0">
        <w:rPr>
          <w:rFonts w:asciiTheme="minorHAnsi" w:eastAsia="Times New Roman" w:hAnsiTheme="minorHAnsi" w:cs="Times New Roman"/>
          <w:color w:val="222222"/>
          <w:sz w:val="20"/>
          <w:szCs w:val="20"/>
          <w:lang w:val="fr-FR"/>
        </w:rPr>
        <w:t>microévaluation</w:t>
      </w:r>
      <w:proofErr w:type="spellEnd"/>
      <w:r w:rsidR="008F59F0" w:rsidRPr="008F59F0">
        <w:rPr>
          <w:rFonts w:asciiTheme="minorHAnsi" w:eastAsia="Times New Roman" w:hAnsiTheme="minorHAnsi" w:cs="Times New Roman"/>
          <w:color w:val="222222"/>
          <w:sz w:val="20"/>
          <w:szCs w:val="20"/>
          <w:lang w:val="fr-FR"/>
        </w:rPr>
        <w:t xml:space="preserve"> </w:t>
      </w:r>
      <w:r>
        <w:rPr>
          <w:rFonts w:asciiTheme="minorHAnsi" w:eastAsia="Times New Roman" w:hAnsiTheme="minorHAnsi" w:cs="Times New Roman"/>
          <w:color w:val="222222"/>
          <w:sz w:val="20"/>
          <w:szCs w:val="20"/>
          <w:lang w:val="fr-FR"/>
        </w:rPr>
        <w:t xml:space="preserve"> ont</w:t>
      </w:r>
      <w:r w:rsidR="008F59F0" w:rsidRPr="008F59F0">
        <w:rPr>
          <w:rFonts w:asciiTheme="minorHAnsi" w:eastAsia="Times New Roman" w:hAnsiTheme="minorHAnsi" w:cs="Times New Roman"/>
          <w:color w:val="222222"/>
          <w:sz w:val="20"/>
          <w:szCs w:val="20"/>
          <w:lang w:val="fr-FR"/>
        </w:rPr>
        <w:t xml:space="preserve"> été identifiée</w:t>
      </w:r>
      <w:r>
        <w:rPr>
          <w:rFonts w:asciiTheme="minorHAnsi" w:eastAsia="Times New Roman" w:hAnsiTheme="minorHAnsi" w:cs="Times New Roman"/>
          <w:color w:val="222222"/>
          <w:sz w:val="20"/>
          <w:szCs w:val="20"/>
          <w:lang w:val="fr-FR"/>
        </w:rPr>
        <w:t>s</w:t>
      </w:r>
      <w:r w:rsidR="008F59F0" w:rsidRPr="008F59F0">
        <w:rPr>
          <w:rFonts w:asciiTheme="minorHAnsi" w:eastAsia="Times New Roman" w:hAnsiTheme="minorHAnsi" w:cs="Times New Roman"/>
          <w:color w:val="222222"/>
          <w:sz w:val="20"/>
          <w:szCs w:val="20"/>
          <w:lang w:val="fr-FR"/>
        </w:rPr>
        <w:t xml:space="preserve"> dans quatre domaines</w:t>
      </w:r>
      <w:r w:rsidR="00105221" w:rsidRPr="008F59F0">
        <w:rPr>
          <w:rFonts w:asciiTheme="minorHAnsi" w:eastAsia="Times New Roman" w:hAnsiTheme="minorHAnsi" w:cs="Times New Roman"/>
          <w:color w:val="222222"/>
          <w:sz w:val="20"/>
          <w:szCs w:val="20"/>
          <w:lang w:val="fr-FR"/>
        </w:rPr>
        <w:t>:</w:t>
      </w:r>
    </w:p>
    <w:p w:rsidR="008F59F0" w:rsidRPr="008F59F0" w:rsidRDefault="008F59F0" w:rsidP="008F59F0">
      <w:pPr>
        <w:pStyle w:val="ListParagraph"/>
        <w:numPr>
          <w:ilvl w:val="0"/>
          <w:numId w:val="10"/>
        </w:numPr>
        <w:shd w:val="clear" w:color="auto" w:fill="FFFFFF"/>
        <w:rPr>
          <w:rFonts w:asciiTheme="minorHAnsi" w:eastAsia="Times New Roman" w:hAnsiTheme="minorHAnsi" w:cs="Times New Roman"/>
          <w:color w:val="222222"/>
          <w:sz w:val="20"/>
          <w:szCs w:val="20"/>
          <w:lang w:val="fr-FR"/>
        </w:rPr>
      </w:pPr>
      <w:r w:rsidRPr="008F59F0">
        <w:rPr>
          <w:rFonts w:asciiTheme="minorHAnsi" w:eastAsia="Times New Roman" w:hAnsiTheme="minorHAnsi" w:cs="Times New Roman"/>
          <w:color w:val="222222"/>
          <w:sz w:val="20"/>
          <w:szCs w:val="20"/>
          <w:lang w:val="fr-FR"/>
        </w:rPr>
        <w:t xml:space="preserve">La révision générale de </w:t>
      </w:r>
      <w:r w:rsidR="00472235">
        <w:rPr>
          <w:rFonts w:asciiTheme="minorHAnsi" w:eastAsia="Times New Roman" w:hAnsiTheme="minorHAnsi" w:cs="Times New Roman"/>
          <w:color w:val="222222"/>
          <w:sz w:val="20"/>
          <w:szCs w:val="20"/>
          <w:lang w:val="fr-FR"/>
        </w:rPr>
        <w:t>toutes les questions ainsi que d</w:t>
      </w:r>
      <w:r w:rsidRPr="008F59F0">
        <w:rPr>
          <w:rFonts w:asciiTheme="minorHAnsi" w:eastAsia="Times New Roman" w:hAnsiTheme="minorHAnsi" w:cs="Times New Roman"/>
          <w:color w:val="222222"/>
          <w:sz w:val="20"/>
          <w:szCs w:val="20"/>
          <w:lang w:val="fr-FR"/>
        </w:rPr>
        <w:t>es catégories de risque;</w:t>
      </w:r>
    </w:p>
    <w:p w:rsidR="008F59F0" w:rsidRPr="008F59F0" w:rsidRDefault="008F59F0" w:rsidP="008F59F0">
      <w:pPr>
        <w:pStyle w:val="ListParagraph"/>
        <w:numPr>
          <w:ilvl w:val="0"/>
          <w:numId w:val="10"/>
        </w:numPr>
        <w:shd w:val="clear" w:color="auto" w:fill="FFFFFF"/>
        <w:rPr>
          <w:rFonts w:asciiTheme="minorHAnsi" w:eastAsia="Times New Roman" w:hAnsiTheme="minorHAnsi" w:cs="Times New Roman"/>
          <w:color w:val="222222"/>
          <w:sz w:val="20"/>
          <w:szCs w:val="20"/>
          <w:lang w:val="fr-FR"/>
        </w:rPr>
      </w:pPr>
      <w:r w:rsidRPr="008F59F0">
        <w:rPr>
          <w:rFonts w:asciiTheme="minorHAnsi" w:eastAsia="Times New Roman" w:hAnsiTheme="minorHAnsi" w:cs="Times New Roman"/>
          <w:color w:val="222222"/>
          <w:sz w:val="20"/>
          <w:szCs w:val="20"/>
          <w:lang w:val="fr-FR"/>
        </w:rPr>
        <w:t xml:space="preserve">L’évaluation de </w:t>
      </w:r>
      <w:r w:rsidR="004D591C">
        <w:rPr>
          <w:rFonts w:asciiTheme="minorHAnsi" w:eastAsia="Times New Roman" w:hAnsiTheme="minorHAnsi" w:cs="Times New Roman"/>
          <w:color w:val="222222"/>
          <w:sz w:val="20"/>
          <w:szCs w:val="20"/>
          <w:lang w:val="fr-FR"/>
        </w:rPr>
        <w:t xml:space="preserve">la pondération </w:t>
      </w:r>
      <w:r w:rsidRPr="008F59F0">
        <w:rPr>
          <w:rFonts w:asciiTheme="minorHAnsi" w:eastAsia="Times New Roman" w:hAnsiTheme="minorHAnsi" w:cs="Times New Roman"/>
          <w:color w:val="222222"/>
          <w:sz w:val="20"/>
          <w:szCs w:val="20"/>
          <w:lang w:val="fr-FR"/>
        </w:rPr>
        <w:t>de chaque question;</w:t>
      </w:r>
    </w:p>
    <w:p w:rsidR="008F59F0" w:rsidRPr="008F59F0" w:rsidRDefault="008F59F0" w:rsidP="008F59F0">
      <w:pPr>
        <w:pStyle w:val="ListParagraph"/>
        <w:numPr>
          <w:ilvl w:val="0"/>
          <w:numId w:val="10"/>
        </w:numPr>
        <w:shd w:val="clear" w:color="auto" w:fill="FFFFFF"/>
        <w:rPr>
          <w:rFonts w:asciiTheme="minorHAnsi" w:eastAsia="Times New Roman" w:hAnsiTheme="minorHAnsi" w:cs="Times New Roman"/>
          <w:color w:val="222222"/>
          <w:sz w:val="20"/>
          <w:szCs w:val="20"/>
          <w:lang w:val="fr-FR"/>
        </w:rPr>
      </w:pPr>
      <w:r w:rsidRPr="008F59F0">
        <w:rPr>
          <w:rFonts w:asciiTheme="minorHAnsi" w:eastAsia="Times New Roman" w:hAnsiTheme="minorHAnsi" w:cs="Times New Roman"/>
          <w:color w:val="222222"/>
          <w:sz w:val="20"/>
          <w:szCs w:val="20"/>
          <w:lang w:val="fr-FR"/>
        </w:rPr>
        <w:t>Les critères pour chaque niveau de risque (1-4) pour chaque question et catégorie de risque;</w:t>
      </w:r>
    </w:p>
    <w:p w:rsidR="00105221" w:rsidRPr="008F59F0" w:rsidRDefault="008F59F0" w:rsidP="00105221">
      <w:pPr>
        <w:pStyle w:val="ListParagraph"/>
        <w:numPr>
          <w:ilvl w:val="0"/>
          <w:numId w:val="10"/>
        </w:numPr>
        <w:shd w:val="clear" w:color="auto" w:fill="FFFFFF"/>
        <w:rPr>
          <w:rFonts w:asciiTheme="minorHAnsi" w:eastAsia="Times New Roman" w:hAnsiTheme="minorHAnsi" w:cs="Times New Roman"/>
          <w:color w:val="222222"/>
          <w:sz w:val="20"/>
          <w:szCs w:val="20"/>
          <w:lang w:val="fr-FR"/>
        </w:rPr>
      </w:pPr>
      <w:r>
        <w:rPr>
          <w:rFonts w:asciiTheme="minorHAnsi" w:eastAsia="Times New Roman" w:hAnsiTheme="minorHAnsi" w:cs="Times New Roman"/>
          <w:color w:val="222222"/>
          <w:sz w:val="20"/>
          <w:szCs w:val="20"/>
          <w:lang w:val="fr-FR"/>
        </w:rPr>
        <w:t>L</w:t>
      </w:r>
      <w:r w:rsidRPr="008F59F0">
        <w:rPr>
          <w:rFonts w:asciiTheme="minorHAnsi" w:eastAsia="Times New Roman" w:hAnsiTheme="minorHAnsi" w:cs="Times New Roman"/>
          <w:color w:val="222222"/>
          <w:sz w:val="20"/>
          <w:szCs w:val="20"/>
          <w:lang w:val="fr-FR"/>
        </w:rPr>
        <w:t>’extension des domaines couverts par  la microévaluation en ajoutant des questions relatives à la gestion globale.</w:t>
      </w:r>
    </w:p>
    <w:p w:rsidR="0047505A" w:rsidRPr="009A1287" w:rsidRDefault="008F59F0" w:rsidP="009A1287">
      <w:pPr>
        <w:pStyle w:val="Heading1"/>
        <w:spacing w:before="120"/>
        <w:rPr>
          <w:rFonts w:asciiTheme="minorHAnsi" w:hAnsiTheme="minorHAnsi"/>
          <w:lang w:val="en-US"/>
        </w:rPr>
      </w:pPr>
      <w:r w:rsidRPr="00472235">
        <w:rPr>
          <w:rFonts w:asciiTheme="minorHAnsi" w:hAnsiTheme="minorHAnsi"/>
          <w:lang w:val="fr-FR"/>
        </w:rPr>
        <w:t>Principales</w:t>
      </w:r>
      <w:r>
        <w:rPr>
          <w:rFonts w:asciiTheme="minorHAnsi" w:hAnsiTheme="minorHAnsi"/>
          <w:lang w:val="en-US"/>
        </w:rPr>
        <w:t xml:space="preserve"> modifications</w:t>
      </w:r>
    </w:p>
    <w:tbl>
      <w:tblPr>
        <w:tblStyle w:val="TableGrid"/>
        <w:tblW w:w="10065" w:type="dxa"/>
        <w:tblLayout w:type="fixed"/>
        <w:tblCellMar>
          <w:top w:w="28" w:type="dxa"/>
          <w:left w:w="28" w:type="dxa"/>
          <w:bottom w:w="28" w:type="dxa"/>
          <w:right w:w="28" w:type="dxa"/>
        </w:tblCellMar>
        <w:tblLook w:val="04A0" w:firstRow="1" w:lastRow="0" w:firstColumn="1" w:lastColumn="0" w:noHBand="0" w:noVBand="1"/>
      </w:tblPr>
      <w:tblGrid>
        <w:gridCol w:w="1512"/>
        <w:gridCol w:w="3618"/>
        <w:gridCol w:w="4935"/>
      </w:tblGrid>
      <w:tr w:rsidR="00CB6E5F" w:rsidRPr="009A1287" w:rsidTr="0037731E">
        <w:trPr>
          <w:trHeight w:val="384"/>
          <w:tblHeader/>
        </w:trPr>
        <w:tc>
          <w:tcPr>
            <w:tcW w:w="1512" w:type="dxa"/>
            <w:shd w:val="clear" w:color="auto" w:fill="2E74B5" w:themeFill="accent1" w:themeFillShade="BF"/>
            <w:vAlign w:val="center"/>
          </w:tcPr>
          <w:p w:rsidR="00933FCE" w:rsidRPr="009A1287" w:rsidRDefault="003C0753" w:rsidP="0055751E">
            <w:pPr>
              <w:jc w:val="center"/>
              <w:rPr>
                <w:rFonts w:asciiTheme="minorHAnsi" w:hAnsiTheme="minorHAnsi"/>
                <w:color w:val="FFFFFF" w:themeColor="background1"/>
                <w:sz w:val="20"/>
              </w:rPr>
            </w:pPr>
            <w:r>
              <w:rPr>
                <w:rFonts w:asciiTheme="minorHAnsi" w:hAnsiTheme="minorHAnsi"/>
                <w:color w:val="FFFFFF" w:themeColor="background1"/>
                <w:sz w:val="20"/>
              </w:rPr>
              <w:t>Dom</w:t>
            </w:r>
            <w:r w:rsidR="004740A4">
              <w:rPr>
                <w:rFonts w:asciiTheme="minorHAnsi" w:hAnsiTheme="minorHAnsi"/>
                <w:color w:val="FFFFFF" w:themeColor="background1"/>
                <w:sz w:val="20"/>
              </w:rPr>
              <w:t>aine</w:t>
            </w:r>
          </w:p>
        </w:tc>
        <w:tc>
          <w:tcPr>
            <w:tcW w:w="3618" w:type="dxa"/>
            <w:shd w:val="clear" w:color="auto" w:fill="2E74B5" w:themeFill="accent1" w:themeFillShade="BF"/>
            <w:vAlign w:val="center"/>
          </w:tcPr>
          <w:p w:rsidR="00933FCE" w:rsidRPr="009A1287" w:rsidRDefault="003C0753" w:rsidP="003C0753">
            <w:pPr>
              <w:jc w:val="center"/>
              <w:rPr>
                <w:rFonts w:asciiTheme="minorHAnsi" w:hAnsiTheme="minorHAnsi"/>
                <w:color w:val="FFFFFF" w:themeColor="background1"/>
                <w:sz w:val="20"/>
              </w:rPr>
            </w:pPr>
            <w:r>
              <w:rPr>
                <w:rFonts w:asciiTheme="minorHAnsi" w:hAnsiTheme="minorHAnsi"/>
                <w:color w:val="FFFFFF" w:themeColor="background1"/>
                <w:sz w:val="20"/>
                <w:lang w:val="fr-FR"/>
              </w:rPr>
              <w:t>Micro</w:t>
            </w:r>
            <w:r w:rsidRPr="003C0753">
              <w:rPr>
                <w:rFonts w:asciiTheme="minorHAnsi" w:hAnsiTheme="minorHAnsi"/>
                <w:color w:val="FFFFFF" w:themeColor="background1"/>
                <w:sz w:val="20"/>
                <w:lang w:val="fr-FR"/>
              </w:rPr>
              <w:t>évaluation</w:t>
            </w:r>
            <w:r>
              <w:rPr>
                <w:rFonts w:asciiTheme="minorHAnsi" w:hAnsiTheme="minorHAnsi"/>
                <w:color w:val="FFFFFF" w:themeColor="background1"/>
                <w:sz w:val="20"/>
              </w:rPr>
              <w:t xml:space="preserve"> </w:t>
            </w:r>
            <w:r w:rsidR="00CB6E5F" w:rsidRPr="009A1287">
              <w:rPr>
                <w:rFonts w:asciiTheme="minorHAnsi" w:hAnsiTheme="minorHAnsi"/>
                <w:color w:val="FFFFFF" w:themeColor="background1"/>
                <w:sz w:val="20"/>
              </w:rPr>
              <w:t>2014</w:t>
            </w:r>
            <w:r w:rsidR="00933FCE" w:rsidRPr="009A1287">
              <w:rPr>
                <w:rFonts w:asciiTheme="minorHAnsi" w:hAnsiTheme="minorHAnsi"/>
                <w:color w:val="FFFFFF" w:themeColor="background1"/>
                <w:sz w:val="20"/>
              </w:rPr>
              <w:t xml:space="preserve"> </w:t>
            </w:r>
          </w:p>
        </w:tc>
        <w:tc>
          <w:tcPr>
            <w:tcW w:w="4935" w:type="dxa"/>
            <w:shd w:val="clear" w:color="auto" w:fill="2E74B5" w:themeFill="accent1" w:themeFillShade="BF"/>
            <w:vAlign w:val="center"/>
          </w:tcPr>
          <w:p w:rsidR="00933FCE" w:rsidRPr="009A1287" w:rsidRDefault="003C0753" w:rsidP="00CB6E5F">
            <w:pPr>
              <w:jc w:val="center"/>
              <w:rPr>
                <w:rFonts w:asciiTheme="minorHAnsi" w:hAnsiTheme="minorHAnsi"/>
                <w:color w:val="FFFFFF" w:themeColor="background1"/>
                <w:sz w:val="20"/>
              </w:rPr>
            </w:pPr>
            <w:r>
              <w:rPr>
                <w:rFonts w:asciiTheme="minorHAnsi" w:hAnsiTheme="minorHAnsi"/>
                <w:color w:val="FFFFFF" w:themeColor="background1"/>
                <w:sz w:val="20"/>
                <w:lang w:val="fr-FR"/>
              </w:rPr>
              <w:t>Micro</w:t>
            </w:r>
            <w:r w:rsidRPr="003C0753">
              <w:rPr>
                <w:rFonts w:asciiTheme="minorHAnsi" w:hAnsiTheme="minorHAnsi"/>
                <w:color w:val="FFFFFF" w:themeColor="background1"/>
                <w:sz w:val="20"/>
                <w:lang w:val="fr-FR"/>
              </w:rPr>
              <w:t>évaluation</w:t>
            </w:r>
            <w:r>
              <w:rPr>
                <w:rFonts w:asciiTheme="minorHAnsi" w:hAnsiTheme="minorHAnsi"/>
                <w:color w:val="FFFFFF" w:themeColor="background1"/>
                <w:sz w:val="20"/>
                <w:lang w:val="fr-FR"/>
              </w:rPr>
              <w:t xml:space="preserve"> 2016</w:t>
            </w:r>
          </w:p>
        </w:tc>
      </w:tr>
      <w:tr w:rsidR="00DD03F4" w:rsidRPr="009A1287" w:rsidTr="0037731E">
        <w:tc>
          <w:tcPr>
            <w:tcW w:w="1512" w:type="dxa"/>
            <w:vMerge w:val="restart"/>
            <w:shd w:val="clear" w:color="auto" w:fill="DEEAF6" w:themeFill="accent1" w:themeFillTint="33"/>
          </w:tcPr>
          <w:p w:rsidR="00DD03F4" w:rsidRPr="009A1287" w:rsidRDefault="003C0753" w:rsidP="00DD03F4">
            <w:pPr>
              <w:jc w:val="left"/>
              <w:rPr>
                <w:rFonts w:asciiTheme="minorHAnsi" w:hAnsiTheme="minorHAnsi"/>
                <w:b/>
                <w:sz w:val="20"/>
              </w:rPr>
            </w:pPr>
            <w:bookmarkStart w:id="0" w:name="_GoBack" w:colFirst="1" w:colLast="1"/>
            <w:r>
              <w:rPr>
                <w:rFonts w:asciiTheme="minorHAnsi" w:hAnsiTheme="minorHAnsi"/>
                <w:b/>
                <w:sz w:val="20"/>
              </w:rPr>
              <w:t>Questions et domaines considerés</w:t>
            </w:r>
          </w:p>
          <w:p w:rsidR="00DD03F4" w:rsidRPr="009A1287" w:rsidRDefault="00DD03F4" w:rsidP="00DD03F4">
            <w:pPr>
              <w:jc w:val="left"/>
              <w:rPr>
                <w:rFonts w:asciiTheme="minorHAnsi" w:hAnsiTheme="minorHAnsi"/>
                <w:b/>
                <w:sz w:val="20"/>
              </w:rPr>
            </w:pPr>
          </w:p>
        </w:tc>
        <w:tc>
          <w:tcPr>
            <w:tcW w:w="3618" w:type="dxa"/>
          </w:tcPr>
          <w:p w:rsidR="00DD03F4" w:rsidRPr="002514C1" w:rsidRDefault="00DD03F4" w:rsidP="002514C1">
            <w:pPr>
              <w:jc w:val="left"/>
              <w:rPr>
                <w:rFonts w:asciiTheme="minorHAnsi" w:hAnsiTheme="minorHAnsi"/>
                <w:sz w:val="20"/>
                <w:lang w:val="fr-FR"/>
              </w:rPr>
            </w:pPr>
            <w:r w:rsidRPr="002514C1">
              <w:rPr>
                <w:rFonts w:asciiTheme="minorHAnsi" w:hAnsiTheme="minorHAnsi"/>
                <w:sz w:val="20"/>
                <w:lang w:val="fr-FR"/>
              </w:rPr>
              <w:t xml:space="preserve">130 Questions </w:t>
            </w:r>
            <w:r w:rsidR="002514C1" w:rsidRPr="002514C1">
              <w:rPr>
                <w:rFonts w:asciiTheme="minorHAnsi" w:hAnsiTheme="minorHAnsi"/>
                <w:sz w:val="20"/>
                <w:lang w:val="fr-FR"/>
              </w:rPr>
              <w:t>en</w:t>
            </w:r>
            <w:r w:rsidRPr="002514C1">
              <w:rPr>
                <w:rFonts w:asciiTheme="minorHAnsi" w:hAnsiTheme="minorHAnsi"/>
                <w:sz w:val="20"/>
                <w:lang w:val="fr-FR"/>
              </w:rPr>
              <w:t xml:space="preserve"> 9 cat</w:t>
            </w:r>
            <w:r w:rsidR="002514C1">
              <w:rPr>
                <w:rFonts w:asciiTheme="minorHAnsi" w:hAnsiTheme="minorHAnsi"/>
                <w:sz w:val="20"/>
                <w:lang w:val="fr-FR"/>
              </w:rPr>
              <w:t>é</w:t>
            </w:r>
            <w:r w:rsidRPr="002514C1">
              <w:rPr>
                <w:rFonts w:asciiTheme="minorHAnsi" w:hAnsiTheme="minorHAnsi"/>
                <w:sz w:val="20"/>
                <w:lang w:val="fr-FR"/>
              </w:rPr>
              <w:t>gories</w:t>
            </w:r>
            <w:r w:rsidR="002514C1" w:rsidRPr="002514C1">
              <w:rPr>
                <w:rFonts w:asciiTheme="minorHAnsi" w:hAnsiTheme="minorHAnsi"/>
                <w:sz w:val="20"/>
                <w:lang w:val="fr-FR"/>
              </w:rPr>
              <w:t xml:space="preserve"> de risque</w:t>
            </w:r>
          </w:p>
        </w:tc>
        <w:tc>
          <w:tcPr>
            <w:tcW w:w="4935" w:type="dxa"/>
          </w:tcPr>
          <w:p w:rsidR="00DD03F4" w:rsidRPr="009A1287" w:rsidRDefault="005866C4" w:rsidP="007B0F37">
            <w:pPr>
              <w:jc w:val="left"/>
              <w:rPr>
                <w:rFonts w:asciiTheme="minorHAnsi" w:hAnsiTheme="minorHAnsi"/>
                <w:sz w:val="20"/>
              </w:rPr>
            </w:pPr>
            <w:r>
              <w:rPr>
                <w:rFonts w:asciiTheme="minorHAnsi" w:hAnsiTheme="minorHAnsi"/>
                <w:sz w:val="20"/>
              </w:rPr>
              <w:t>96</w:t>
            </w:r>
            <w:r w:rsidR="00DD03F4" w:rsidRPr="009A1287">
              <w:rPr>
                <w:rFonts w:asciiTheme="minorHAnsi" w:hAnsiTheme="minorHAnsi"/>
                <w:sz w:val="20"/>
              </w:rPr>
              <w:t xml:space="preserve"> questions </w:t>
            </w:r>
            <w:r w:rsidR="007B0F37">
              <w:rPr>
                <w:rFonts w:asciiTheme="minorHAnsi" w:hAnsiTheme="minorHAnsi"/>
                <w:sz w:val="20"/>
              </w:rPr>
              <w:t>en 7 c</w:t>
            </w:r>
            <w:r w:rsidR="00DD03F4" w:rsidRPr="009A1287">
              <w:rPr>
                <w:rFonts w:asciiTheme="minorHAnsi" w:hAnsiTheme="minorHAnsi"/>
                <w:sz w:val="20"/>
              </w:rPr>
              <w:t>at</w:t>
            </w:r>
            <w:r w:rsidR="007B0F37">
              <w:rPr>
                <w:rFonts w:asciiTheme="minorHAnsi" w:hAnsiTheme="minorHAnsi"/>
                <w:sz w:val="20"/>
              </w:rPr>
              <w:t>é</w:t>
            </w:r>
            <w:r w:rsidR="00DD03F4" w:rsidRPr="009A1287">
              <w:rPr>
                <w:rFonts w:asciiTheme="minorHAnsi" w:hAnsiTheme="minorHAnsi"/>
                <w:sz w:val="20"/>
              </w:rPr>
              <w:t>gories</w:t>
            </w:r>
          </w:p>
        </w:tc>
      </w:tr>
      <w:tr w:rsidR="00DD03F4" w:rsidRPr="00114975" w:rsidTr="0037731E">
        <w:tc>
          <w:tcPr>
            <w:tcW w:w="1512" w:type="dxa"/>
            <w:vMerge/>
            <w:shd w:val="clear" w:color="auto" w:fill="DEEAF6" w:themeFill="accent1" w:themeFillTint="33"/>
          </w:tcPr>
          <w:p w:rsidR="00DD03F4" w:rsidRPr="009A1287" w:rsidRDefault="00DD03F4" w:rsidP="00DD03F4">
            <w:pPr>
              <w:jc w:val="left"/>
              <w:rPr>
                <w:rFonts w:asciiTheme="minorHAnsi" w:hAnsiTheme="minorHAnsi"/>
                <w:b/>
                <w:sz w:val="20"/>
              </w:rPr>
            </w:pPr>
          </w:p>
        </w:tc>
        <w:tc>
          <w:tcPr>
            <w:tcW w:w="8553" w:type="dxa"/>
            <w:gridSpan w:val="2"/>
          </w:tcPr>
          <w:p w:rsidR="00D81CD1" w:rsidRPr="00D81CD1" w:rsidRDefault="00D81CD1" w:rsidP="00D81CD1">
            <w:pPr>
              <w:pStyle w:val="ListParagraph"/>
              <w:numPr>
                <w:ilvl w:val="0"/>
                <w:numId w:val="11"/>
              </w:numPr>
              <w:ind w:left="170" w:hanging="170"/>
              <w:jc w:val="left"/>
              <w:rPr>
                <w:rFonts w:asciiTheme="minorHAnsi" w:hAnsiTheme="minorHAnsi"/>
                <w:sz w:val="20"/>
                <w:lang w:val="fr-FR"/>
              </w:rPr>
            </w:pPr>
            <w:r w:rsidRPr="00D81CD1">
              <w:rPr>
                <w:rFonts w:asciiTheme="minorHAnsi" w:hAnsiTheme="minorHAnsi"/>
                <w:sz w:val="20"/>
                <w:lang w:val="fr-FR"/>
              </w:rPr>
              <w:t>64 questions ont été supprimées du questionnaire 2014 en raison de leur redondance, leur ambigüité ou parce qu’elles étaient difficiles à répondre par un tiers.</w:t>
            </w:r>
          </w:p>
          <w:p w:rsidR="00D81CD1" w:rsidRPr="00D81CD1" w:rsidRDefault="00D81CD1" w:rsidP="00D81CD1">
            <w:pPr>
              <w:pStyle w:val="ListParagraph"/>
              <w:numPr>
                <w:ilvl w:val="0"/>
                <w:numId w:val="11"/>
              </w:numPr>
              <w:ind w:left="170" w:hanging="170"/>
              <w:rPr>
                <w:rFonts w:asciiTheme="minorHAnsi" w:hAnsiTheme="minorHAnsi"/>
                <w:sz w:val="20"/>
                <w:lang w:val="fr-FR"/>
              </w:rPr>
            </w:pPr>
            <w:r w:rsidRPr="00D81CD1">
              <w:rPr>
                <w:rFonts w:asciiTheme="minorHAnsi" w:hAnsiTheme="minorHAnsi"/>
                <w:sz w:val="20"/>
                <w:lang w:val="fr-FR"/>
              </w:rPr>
              <w:t>30 questions ont été ajoutées aux catégories existantes ou nouvelles pour combler les insuffisances notées  dans les domaines.</w:t>
            </w:r>
          </w:p>
          <w:p w:rsidR="00D81CD1" w:rsidRPr="00D81CD1" w:rsidRDefault="00D81CD1" w:rsidP="00D81CD1">
            <w:pPr>
              <w:pStyle w:val="ListParagraph"/>
              <w:numPr>
                <w:ilvl w:val="0"/>
                <w:numId w:val="11"/>
              </w:numPr>
              <w:ind w:left="170" w:hanging="170"/>
              <w:rPr>
                <w:rFonts w:asciiTheme="minorHAnsi" w:hAnsiTheme="minorHAnsi"/>
                <w:sz w:val="20"/>
                <w:lang w:val="fr-FR"/>
              </w:rPr>
            </w:pPr>
            <w:r w:rsidRPr="00D81CD1">
              <w:rPr>
                <w:rFonts w:asciiTheme="minorHAnsi" w:hAnsiTheme="minorHAnsi"/>
                <w:sz w:val="20"/>
                <w:lang w:val="fr-FR"/>
              </w:rPr>
              <w:t>4 domaines ont été supprimés du questionnaire: Flux financier, audit interne, audit financier, et  systèmes d'information. Les questions importantes de ces domaines ont été fusionnées avec d'autres domaines.</w:t>
            </w:r>
          </w:p>
          <w:p w:rsidR="00D81CD1" w:rsidRPr="00D81CD1" w:rsidRDefault="00D81CD1" w:rsidP="00D81CD1">
            <w:pPr>
              <w:pStyle w:val="ListParagraph"/>
              <w:numPr>
                <w:ilvl w:val="0"/>
                <w:numId w:val="11"/>
              </w:numPr>
              <w:ind w:left="170" w:hanging="170"/>
              <w:rPr>
                <w:rFonts w:asciiTheme="minorHAnsi" w:hAnsiTheme="minorHAnsi"/>
                <w:sz w:val="20"/>
                <w:lang w:val="fr-FR"/>
              </w:rPr>
            </w:pPr>
            <w:r w:rsidRPr="00D81CD1">
              <w:rPr>
                <w:rFonts w:asciiTheme="minorHAnsi" w:hAnsiTheme="minorHAnsi"/>
                <w:sz w:val="20"/>
                <w:lang w:val="fr-FR"/>
              </w:rPr>
              <w:t>2 domaines ont été ajoutés: gestion du programme; Immobilisations et stocks;</w:t>
            </w:r>
          </w:p>
          <w:p w:rsidR="00DD03F4" w:rsidRPr="00D81CD1" w:rsidRDefault="00D81CD1" w:rsidP="00D81CD1">
            <w:pPr>
              <w:pStyle w:val="ListParagraph"/>
              <w:numPr>
                <w:ilvl w:val="0"/>
                <w:numId w:val="11"/>
              </w:numPr>
              <w:ind w:left="170" w:hanging="170"/>
              <w:rPr>
                <w:rFonts w:asciiTheme="minorHAnsi" w:hAnsiTheme="minorHAnsi"/>
                <w:sz w:val="20"/>
                <w:lang w:val="fr-FR"/>
              </w:rPr>
            </w:pPr>
            <w:r w:rsidRPr="00D81CD1">
              <w:rPr>
                <w:rFonts w:asciiTheme="minorHAnsi" w:hAnsiTheme="minorHAnsi"/>
                <w:sz w:val="20"/>
                <w:lang w:val="fr-FR"/>
              </w:rPr>
              <w:t>2 sous-sections ont été ajoutées: sur l'entreposage et la gestion des stoc</w:t>
            </w:r>
            <w:r w:rsidR="00680482">
              <w:rPr>
                <w:rFonts w:asciiTheme="minorHAnsi" w:hAnsiTheme="minorHAnsi"/>
                <w:sz w:val="20"/>
                <w:lang w:val="fr-FR"/>
              </w:rPr>
              <w:t>ks et la gestion des contrats (</w:t>
            </w:r>
            <w:r w:rsidRPr="00D81CD1">
              <w:rPr>
                <w:rFonts w:asciiTheme="minorHAnsi" w:hAnsiTheme="minorHAnsi"/>
                <w:sz w:val="20"/>
                <w:lang w:val="fr-FR"/>
              </w:rPr>
              <w:t>passation de marchés)</w:t>
            </w:r>
          </w:p>
        </w:tc>
      </w:tr>
      <w:bookmarkEnd w:id="0"/>
      <w:tr w:rsidR="00C70942" w:rsidRPr="00114975" w:rsidTr="0037731E">
        <w:tc>
          <w:tcPr>
            <w:tcW w:w="1512" w:type="dxa"/>
            <w:shd w:val="clear" w:color="auto" w:fill="DEEAF6" w:themeFill="accent1" w:themeFillTint="33"/>
          </w:tcPr>
          <w:p w:rsidR="00C70942" w:rsidRPr="009A1287" w:rsidRDefault="00360C3E" w:rsidP="00360C3E">
            <w:pPr>
              <w:jc w:val="left"/>
              <w:rPr>
                <w:rFonts w:asciiTheme="minorHAnsi" w:hAnsiTheme="minorHAnsi"/>
                <w:b/>
                <w:sz w:val="20"/>
              </w:rPr>
            </w:pPr>
            <w:proofErr w:type="spellStart"/>
            <w:r>
              <w:rPr>
                <w:rFonts w:asciiTheme="minorHAnsi" w:hAnsiTheme="minorHAnsi"/>
                <w:b/>
                <w:sz w:val="20"/>
              </w:rPr>
              <w:t>Ponderation</w:t>
            </w:r>
            <w:proofErr w:type="spellEnd"/>
            <w:r>
              <w:rPr>
                <w:rFonts w:asciiTheme="minorHAnsi" w:hAnsiTheme="minorHAnsi"/>
                <w:b/>
                <w:sz w:val="20"/>
              </w:rPr>
              <w:t xml:space="preserve"> </w:t>
            </w:r>
            <w:r w:rsidR="003C0753">
              <w:rPr>
                <w:rFonts w:asciiTheme="minorHAnsi" w:hAnsiTheme="minorHAnsi"/>
                <w:b/>
                <w:sz w:val="20"/>
              </w:rPr>
              <w:t xml:space="preserve"> des</w:t>
            </w:r>
            <w:r w:rsidR="009A1287">
              <w:rPr>
                <w:rFonts w:asciiTheme="minorHAnsi" w:hAnsiTheme="minorHAnsi"/>
                <w:b/>
                <w:sz w:val="20"/>
              </w:rPr>
              <w:t xml:space="preserve"> questions</w:t>
            </w:r>
          </w:p>
        </w:tc>
        <w:tc>
          <w:tcPr>
            <w:tcW w:w="3618" w:type="dxa"/>
          </w:tcPr>
          <w:p w:rsidR="00C70942" w:rsidRPr="0093764E" w:rsidRDefault="0093764E" w:rsidP="00360C3E">
            <w:pPr>
              <w:jc w:val="left"/>
              <w:rPr>
                <w:rFonts w:asciiTheme="minorHAnsi" w:hAnsiTheme="minorHAnsi"/>
                <w:sz w:val="20"/>
                <w:lang w:val="fr-FR"/>
              </w:rPr>
            </w:pPr>
            <w:r w:rsidRPr="0093764E">
              <w:rPr>
                <w:rFonts w:asciiTheme="minorHAnsi" w:hAnsiTheme="minorHAnsi"/>
                <w:sz w:val="20"/>
                <w:lang w:val="fr-FR"/>
              </w:rPr>
              <w:t xml:space="preserve">Toutes les 130 questions ont la même </w:t>
            </w:r>
            <w:r w:rsidR="00086F11">
              <w:rPr>
                <w:rFonts w:asciiTheme="minorHAnsi" w:hAnsiTheme="minorHAnsi"/>
                <w:sz w:val="20"/>
                <w:lang w:val="fr-FR"/>
              </w:rPr>
              <w:t>pondération</w:t>
            </w:r>
            <w:r w:rsidR="00360C3E">
              <w:rPr>
                <w:rFonts w:asciiTheme="minorHAnsi" w:hAnsiTheme="minorHAnsi"/>
                <w:sz w:val="20"/>
                <w:lang w:val="fr-FR"/>
              </w:rPr>
              <w:t xml:space="preserve"> </w:t>
            </w:r>
            <w:r w:rsidRPr="0093764E">
              <w:rPr>
                <w:rFonts w:asciiTheme="minorHAnsi" w:hAnsiTheme="minorHAnsi"/>
                <w:sz w:val="20"/>
                <w:lang w:val="fr-FR"/>
              </w:rPr>
              <w:t xml:space="preserve"> dans le calcul d</w:t>
            </w:r>
            <w:r w:rsidR="00360C3E">
              <w:rPr>
                <w:rFonts w:asciiTheme="minorHAnsi" w:hAnsiTheme="minorHAnsi"/>
                <w:sz w:val="20"/>
                <w:lang w:val="fr-FR"/>
              </w:rPr>
              <w:t xml:space="preserve">u niveau </w:t>
            </w:r>
            <w:r w:rsidRPr="0093764E">
              <w:rPr>
                <w:rFonts w:asciiTheme="minorHAnsi" w:hAnsiTheme="minorHAnsi"/>
                <w:sz w:val="20"/>
                <w:lang w:val="fr-FR"/>
              </w:rPr>
              <w:t>e de risque global et de celle du domaine considéré. Par conséquent, même s'il y a des insuffisances significative</w:t>
            </w:r>
            <w:r w:rsidR="00680482">
              <w:rPr>
                <w:rFonts w:asciiTheme="minorHAnsi" w:hAnsiTheme="minorHAnsi"/>
                <w:sz w:val="20"/>
                <w:lang w:val="fr-FR"/>
              </w:rPr>
              <w:t>s</w:t>
            </w:r>
            <w:r w:rsidRPr="0093764E">
              <w:rPr>
                <w:rFonts w:asciiTheme="minorHAnsi" w:hAnsiTheme="minorHAnsi"/>
                <w:sz w:val="20"/>
                <w:lang w:val="fr-FR"/>
              </w:rPr>
              <w:t xml:space="preserve"> relatives au contrôle dans certains domaines, </w:t>
            </w:r>
            <w:r w:rsidR="00680482">
              <w:rPr>
                <w:rFonts w:asciiTheme="minorHAnsi" w:hAnsiTheme="minorHAnsi"/>
                <w:sz w:val="20"/>
                <w:lang w:val="fr-FR"/>
              </w:rPr>
              <w:t>celles</w:t>
            </w:r>
            <w:r w:rsidRPr="0093764E">
              <w:rPr>
                <w:rFonts w:asciiTheme="minorHAnsi" w:hAnsiTheme="minorHAnsi"/>
                <w:sz w:val="20"/>
                <w:lang w:val="fr-FR"/>
              </w:rPr>
              <w:t>-ci n’impactent pas trop sur l</w:t>
            </w:r>
            <w:r w:rsidR="00360C3E">
              <w:rPr>
                <w:rFonts w:asciiTheme="minorHAnsi" w:hAnsiTheme="minorHAnsi"/>
                <w:sz w:val="20"/>
                <w:lang w:val="fr-FR"/>
              </w:rPr>
              <w:t xml:space="preserve">e niveau </w:t>
            </w:r>
            <w:r w:rsidRPr="0093764E">
              <w:rPr>
                <w:rFonts w:asciiTheme="minorHAnsi" w:hAnsiTheme="minorHAnsi"/>
                <w:sz w:val="20"/>
                <w:lang w:val="fr-FR"/>
              </w:rPr>
              <w:t xml:space="preserve"> de risque globale car c’est leur moyenne qui est calculée.</w:t>
            </w:r>
          </w:p>
        </w:tc>
        <w:tc>
          <w:tcPr>
            <w:tcW w:w="4935" w:type="dxa"/>
          </w:tcPr>
          <w:p w:rsidR="00A87786" w:rsidRPr="0093764E" w:rsidRDefault="0093764E" w:rsidP="00360C3E">
            <w:pPr>
              <w:pStyle w:val="ListParagraph"/>
              <w:ind w:left="0"/>
              <w:jc w:val="left"/>
              <w:rPr>
                <w:rFonts w:asciiTheme="minorHAnsi" w:hAnsiTheme="minorHAnsi"/>
                <w:sz w:val="20"/>
                <w:lang w:val="fr-FR"/>
              </w:rPr>
            </w:pPr>
            <w:r w:rsidRPr="0093764E">
              <w:rPr>
                <w:rFonts w:asciiTheme="minorHAnsi" w:hAnsiTheme="minorHAnsi"/>
                <w:sz w:val="20"/>
                <w:lang w:val="fr-FR"/>
              </w:rPr>
              <w:t xml:space="preserve">39 </w:t>
            </w:r>
            <w:r w:rsidR="00680482">
              <w:rPr>
                <w:rFonts w:asciiTheme="minorHAnsi" w:hAnsiTheme="minorHAnsi"/>
                <w:sz w:val="20"/>
                <w:lang w:val="fr-FR"/>
              </w:rPr>
              <w:t xml:space="preserve">sur </w:t>
            </w:r>
            <w:r w:rsidRPr="0093764E">
              <w:rPr>
                <w:rFonts w:asciiTheme="minorHAnsi" w:hAnsiTheme="minorHAnsi"/>
                <w:sz w:val="20"/>
                <w:lang w:val="fr-FR"/>
              </w:rPr>
              <w:t xml:space="preserve">96 questions ont été désignées comme questions </w:t>
            </w:r>
            <w:r w:rsidR="00086F11">
              <w:rPr>
                <w:rFonts w:asciiTheme="minorHAnsi" w:hAnsiTheme="minorHAnsi"/>
                <w:sz w:val="20"/>
                <w:lang w:val="fr-FR"/>
              </w:rPr>
              <w:t>clés</w:t>
            </w:r>
            <w:r w:rsidRPr="0093764E">
              <w:rPr>
                <w:rFonts w:asciiTheme="minorHAnsi" w:hAnsiTheme="minorHAnsi"/>
                <w:sz w:val="20"/>
                <w:lang w:val="fr-FR"/>
              </w:rPr>
              <w:t xml:space="preserve">. Les questions </w:t>
            </w:r>
            <w:r w:rsidR="00360C3E">
              <w:rPr>
                <w:rFonts w:asciiTheme="minorHAnsi" w:hAnsiTheme="minorHAnsi"/>
                <w:sz w:val="20"/>
                <w:lang w:val="fr-FR"/>
              </w:rPr>
              <w:t xml:space="preserve">clés </w:t>
            </w:r>
            <w:r w:rsidRPr="0093764E">
              <w:rPr>
                <w:rFonts w:asciiTheme="minorHAnsi" w:hAnsiTheme="minorHAnsi"/>
                <w:sz w:val="20"/>
                <w:lang w:val="fr-FR"/>
              </w:rPr>
              <w:t xml:space="preserve"> ont </w:t>
            </w:r>
            <w:r w:rsidR="00360C3E">
              <w:rPr>
                <w:rFonts w:asciiTheme="minorHAnsi" w:hAnsiTheme="minorHAnsi"/>
                <w:sz w:val="20"/>
                <w:lang w:val="fr-FR"/>
              </w:rPr>
              <w:t xml:space="preserve">une pondération deux fois plus élevée </w:t>
            </w:r>
            <w:r w:rsidRPr="0093764E">
              <w:rPr>
                <w:rFonts w:asciiTheme="minorHAnsi" w:hAnsiTheme="minorHAnsi"/>
                <w:sz w:val="20"/>
                <w:lang w:val="fr-FR"/>
              </w:rPr>
              <w:t xml:space="preserve"> dans le calcul d</w:t>
            </w:r>
            <w:r w:rsidR="00360C3E">
              <w:rPr>
                <w:rFonts w:asciiTheme="minorHAnsi" w:hAnsiTheme="minorHAnsi"/>
                <w:sz w:val="20"/>
                <w:lang w:val="fr-FR"/>
              </w:rPr>
              <w:t xml:space="preserve">u niveau </w:t>
            </w:r>
            <w:r w:rsidRPr="0093764E">
              <w:rPr>
                <w:rFonts w:asciiTheme="minorHAnsi" w:hAnsiTheme="minorHAnsi"/>
                <w:sz w:val="20"/>
                <w:lang w:val="fr-FR"/>
              </w:rPr>
              <w:t xml:space="preserve"> de risque globale et de cel</w:t>
            </w:r>
            <w:r w:rsidR="00360C3E">
              <w:rPr>
                <w:rFonts w:asciiTheme="minorHAnsi" w:hAnsiTheme="minorHAnsi"/>
                <w:sz w:val="20"/>
                <w:lang w:val="fr-FR"/>
              </w:rPr>
              <w:t xml:space="preserve">ui </w:t>
            </w:r>
            <w:r w:rsidRPr="0093764E">
              <w:rPr>
                <w:rFonts w:asciiTheme="minorHAnsi" w:hAnsiTheme="minorHAnsi"/>
                <w:sz w:val="20"/>
                <w:lang w:val="fr-FR"/>
              </w:rPr>
              <w:t xml:space="preserve"> du domaine considéré. Par conséquent, s'il y a des insuffisances significatives dans les questions importantes, elles se refléteront dans l</w:t>
            </w:r>
            <w:r w:rsidR="00360C3E">
              <w:rPr>
                <w:rFonts w:asciiTheme="minorHAnsi" w:hAnsiTheme="minorHAnsi"/>
                <w:sz w:val="20"/>
                <w:lang w:val="fr-FR"/>
              </w:rPr>
              <w:t xml:space="preserve">e niveau </w:t>
            </w:r>
            <w:r w:rsidRPr="0093764E">
              <w:rPr>
                <w:rFonts w:asciiTheme="minorHAnsi" w:hAnsiTheme="minorHAnsi"/>
                <w:sz w:val="20"/>
                <w:lang w:val="fr-FR"/>
              </w:rPr>
              <w:t xml:space="preserve"> de risque global (et vice versa).</w:t>
            </w:r>
          </w:p>
        </w:tc>
      </w:tr>
      <w:tr w:rsidR="00C70942" w:rsidRPr="00114975" w:rsidTr="0037731E">
        <w:tc>
          <w:tcPr>
            <w:tcW w:w="1512" w:type="dxa"/>
            <w:shd w:val="clear" w:color="auto" w:fill="DEEAF6" w:themeFill="accent1" w:themeFillTint="33"/>
          </w:tcPr>
          <w:p w:rsidR="00C70942" w:rsidRPr="003C0753" w:rsidRDefault="003C0753" w:rsidP="00360C3E">
            <w:pPr>
              <w:jc w:val="left"/>
              <w:rPr>
                <w:rFonts w:asciiTheme="minorHAnsi" w:hAnsiTheme="minorHAnsi"/>
                <w:b/>
                <w:sz w:val="20"/>
                <w:szCs w:val="20"/>
                <w:lang w:val="fr-FR"/>
              </w:rPr>
            </w:pPr>
            <w:r w:rsidRPr="003C0753">
              <w:rPr>
                <w:rFonts w:asciiTheme="minorHAnsi" w:hAnsiTheme="minorHAnsi"/>
                <w:b/>
                <w:sz w:val="20"/>
                <w:szCs w:val="20"/>
                <w:lang w:val="fr-FR"/>
              </w:rPr>
              <w:t xml:space="preserve">Mode de calcul </w:t>
            </w:r>
            <w:r w:rsidR="00680482" w:rsidRPr="003C0753">
              <w:rPr>
                <w:rFonts w:asciiTheme="minorHAnsi" w:hAnsiTheme="minorHAnsi"/>
                <w:b/>
                <w:sz w:val="20"/>
                <w:szCs w:val="20"/>
                <w:lang w:val="fr-FR"/>
              </w:rPr>
              <w:t>d</w:t>
            </w:r>
            <w:r w:rsidR="00360C3E">
              <w:rPr>
                <w:rFonts w:asciiTheme="minorHAnsi" w:hAnsiTheme="minorHAnsi"/>
                <w:b/>
                <w:sz w:val="20"/>
                <w:szCs w:val="20"/>
                <w:lang w:val="fr-FR"/>
              </w:rPr>
              <w:t xml:space="preserve">u niveau </w:t>
            </w:r>
            <w:r w:rsidRPr="003C0753">
              <w:rPr>
                <w:rFonts w:asciiTheme="minorHAnsi" w:hAnsiTheme="minorHAnsi"/>
                <w:b/>
                <w:sz w:val="20"/>
                <w:szCs w:val="20"/>
                <w:lang w:val="fr-FR"/>
              </w:rPr>
              <w:t xml:space="preserve"> de risque</w:t>
            </w:r>
          </w:p>
        </w:tc>
        <w:tc>
          <w:tcPr>
            <w:tcW w:w="3618" w:type="dxa"/>
          </w:tcPr>
          <w:p w:rsidR="00EE1391" w:rsidRPr="0093764E" w:rsidRDefault="00680482" w:rsidP="00EE1391">
            <w:pPr>
              <w:jc w:val="left"/>
              <w:rPr>
                <w:rFonts w:asciiTheme="minorHAnsi" w:hAnsiTheme="minorHAnsi"/>
                <w:sz w:val="20"/>
                <w:szCs w:val="20"/>
                <w:lang w:val="fr-FR"/>
              </w:rPr>
            </w:pPr>
            <w:r>
              <w:rPr>
                <w:rFonts w:asciiTheme="minorHAnsi" w:hAnsiTheme="minorHAnsi"/>
                <w:sz w:val="20"/>
                <w:szCs w:val="20"/>
                <w:lang w:val="fr-FR"/>
              </w:rPr>
              <w:t>Un s</w:t>
            </w:r>
            <w:r w:rsidRPr="0093764E">
              <w:rPr>
                <w:rFonts w:asciiTheme="minorHAnsi" w:hAnsiTheme="minorHAnsi"/>
                <w:sz w:val="20"/>
                <w:szCs w:val="20"/>
                <w:lang w:val="fr-FR"/>
              </w:rPr>
              <w:t xml:space="preserve">imple </w:t>
            </w:r>
            <w:r w:rsidR="0093764E" w:rsidRPr="0093764E">
              <w:rPr>
                <w:rFonts w:asciiTheme="minorHAnsi" w:hAnsiTheme="minorHAnsi"/>
                <w:sz w:val="20"/>
                <w:szCs w:val="20"/>
                <w:lang w:val="fr-FR"/>
              </w:rPr>
              <w:t>calcul de la moyenne fait manuellement dans un format MS Word.</w:t>
            </w:r>
          </w:p>
          <w:p w:rsidR="00BD61C0" w:rsidRPr="0093764E" w:rsidRDefault="00BD61C0" w:rsidP="00EE1391">
            <w:pPr>
              <w:jc w:val="left"/>
              <w:rPr>
                <w:rFonts w:asciiTheme="minorHAnsi" w:hAnsiTheme="minorHAnsi"/>
                <w:sz w:val="20"/>
                <w:szCs w:val="20"/>
                <w:lang w:val="fr-FR"/>
              </w:rPr>
            </w:pPr>
          </w:p>
          <w:p w:rsidR="00C70942" w:rsidRPr="00211FEB" w:rsidRDefault="00680482" w:rsidP="00360C3E">
            <w:pPr>
              <w:jc w:val="left"/>
              <w:rPr>
                <w:rFonts w:asciiTheme="minorHAnsi" w:hAnsiTheme="minorHAnsi"/>
                <w:sz w:val="20"/>
                <w:szCs w:val="20"/>
                <w:lang w:val="fr-FR"/>
              </w:rPr>
            </w:pPr>
            <w:r w:rsidRPr="00211FEB">
              <w:rPr>
                <w:rFonts w:asciiTheme="minorHAnsi" w:hAnsiTheme="minorHAnsi"/>
                <w:sz w:val="20"/>
                <w:szCs w:val="20"/>
                <w:lang w:val="fr-FR"/>
              </w:rPr>
              <w:t xml:space="preserve">Les </w:t>
            </w:r>
            <w:r w:rsidR="00360C3E">
              <w:rPr>
                <w:rFonts w:asciiTheme="minorHAnsi" w:hAnsiTheme="minorHAnsi"/>
                <w:sz w:val="20"/>
                <w:szCs w:val="20"/>
                <w:lang w:val="fr-FR"/>
              </w:rPr>
              <w:t xml:space="preserve">niveaux </w:t>
            </w:r>
            <w:r w:rsidR="00211FEB" w:rsidRPr="00211FEB">
              <w:rPr>
                <w:rFonts w:asciiTheme="minorHAnsi" w:hAnsiTheme="minorHAnsi"/>
                <w:sz w:val="20"/>
                <w:szCs w:val="20"/>
                <w:lang w:val="fr-FR"/>
              </w:rPr>
              <w:t xml:space="preserve"> de risques ont été inégalement réparties comme suit: risque faible: 17%, modéré et significatif: 33% chacun, Risque élevé: 17%.</w:t>
            </w:r>
          </w:p>
        </w:tc>
        <w:tc>
          <w:tcPr>
            <w:tcW w:w="4935" w:type="dxa"/>
          </w:tcPr>
          <w:p w:rsidR="00046844" w:rsidRPr="00211FEB" w:rsidRDefault="00211FEB" w:rsidP="00046844">
            <w:pPr>
              <w:jc w:val="left"/>
              <w:rPr>
                <w:rFonts w:asciiTheme="minorHAnsi" w:hAnsiTheme="minorHAnsi"/>
                <w:sz w:val="20"/>
                <w:szCs w:val="20"/>
                <w:lang w:val="fr-FR"/>
              </w:rPr>
            </w:pPr>
            <w:r w:rsidRPr="00211FEB">
              <w:rPr>
                <w:rFonts w:asciiTheme="minorHAnsi" w:hAnsiTheme="minorHAnsi"/>
                <w:sz w:val="20"/>
                <w:szCs w:val="20"/>
                <w:lang w:val="fr-FR"/>
              </w:rPr>
              <w:t>Un nouveau document en format Excel a été élaboré et il permet de calculer automatiquement le risque par domaine considéré et le risque global, en tenant compte de</w:t>
            </w:r>
            <w:r w:rsidR="00046844" w:rsidRPr="00211FEB">
              <w:rPr>
                <w:rFonts w:asciiTheme="minorHAnsi" w:hAnsiTheme="minorHAnsi"/>
                <w:sz w:val="20"/>
                <w:szCs w:val="20"/>
                <w:lang w:val="fr-FR"/>
              </w:rPr>
              <w:t>:</w:t>
            </w:r>
          </w:p>
          <w:p w:rsidR="00211FEB" w:rsidRPr="00211FEB" w:rsidRDefault="00211FEB" w:rsidP="00211FEB">
            <w:pPr>
              <w:pStyle w:val="ListParagraph"/>
              <w:numPr>
                <w:ilvl w:val="0"/>
                <w:numId w:val="12"/>
              </w:numPr>
              <w:jc w:val="left"/>
              <w:rPr>
                <w:rFonts w:asciiTheme="minorHAnsi" w:hAnsiTheme="minorHAnsi"/>
                <w:sz w:val="20"/>
                <w:szCs w:val="20"/>
                <w:lang w:val="fr-FR"/>
              </w:rPr>
            </w:pPr>
            <w:r w:rsidRPr="00211FEB">
              <w:rPr>
                <w:rFonts w:asciiTheme="minorHAnsi" w:hAnsiTheme="minorHAnsi"/>
                <w:sz w:val="20"/>
                <w:szCs w:val="20"/>
                <w:lang w:val="fr-FR"/>
              </w:rPr>
              <w:t xml:space="preserve">la </w:t>
            </w:r>
            <w:r w:rsidR="00360C3E">
              <w:rPr>
                <w:rFonts w:asciiTheme="minorHAnsi" w:hAnsiTheme="minorHAnsi"/>
                <w:sz w:val="20"/>
                <w:szCs w:val="20"/>
                <w:lang w:val="fr-FR"/>
              </w:rPr>
              <w:t xml:space="preserve">pondération </w:t>
            </w:r>
            <w:r w:rsidRPr="00211FEB">
              <w:rPr>
                <w:rFonts w:asciiTheme="minorHAnsi" w:hAnsiTheme="minorHAnsi"/>
                <w:sz w:val="20"/>
                <w:szCs w:val="20"/>
                <w:lang w:val="fr-FR"/>
              </w:rPr>
              <w:t xml:space="preserve"> des questions </w:t>
            </w:r>
            <w:r w:rsidR="00360C3E">
              <w:rPr>
                <w:rFonts w:asciiTheme="minorHAnsi" w:hAnsiTheme="minorHAnsi"/>
                <w:sz w:val="20"/>
                <w:szCs w:val="20"/>
                <w:lang w:val="fr-FR"/>
              </w:rPr>
              <w:t xml:space="preserve">clés </w:t>
            </w:r>
          </w:p>
          <w:p w:rsidR="00211FEB" w:rsidRPr="00211FEB" w:rsidRDefault="00360C3E" w:rsidP="00211FEB">
            <w:pPr>
              <w:pStyle w:val="ListParagraph"/>
              <w:numPr>
                <w:ilvl w:val="0"/>
                <w:numId w:val="12"/>
              </w:numPr>
              <w:rPr>
                <w:rFonts w:asciiTheme="minorHAnsi" w:hAnsiTheme="minorHAnsi"/>
                <w:sz w:val="20"/>
                <w:szCs w:val="20"/>
                <w:lang w:val="fr-FR"/>
              </w:rPr>
            </w:pPr>
            <w:r>
              <w:rPr>
                <w:rFonts w:asciiTheme="minorHAnsi" w:hAnsiTheme="minorHAnsi"/>
                <w:sz w:val="20"/>
                <w:szCs w:val="20"/>
                <w:lang w:val="fr-FR"/>
              </w:rPr>
              <w:t>d</w:t>
            </w:r>
            <w:r w:rsidR="00211FEB" w:rsidRPr="00211FEB">
              <w:rPr>
                <w:rFonts w:asciiTheme="minorHAnsi" w:hAnsiTheme="minorHAnsi"/>
                <w:sz w:val="20"/>
                <w:szCs w:val="20"/>
                <w:lang w:val="fr-FR"/>
              </w:rPr>
              <w:t xml:space="preserve">es questions applicables </w:t>
            </w:r>
            <w:r w:rsidR="00680482" w:rsidRPr="00211FEB">
              <w:rPr>
                <w:rFonts w:asciiTheme="minorHAnsi" w:hAnsiTheme="minorHAnsi"/>
                <w:sz w:val="20"/>
                <w:szCs w:val="20"/>
                <w:lang w:val="fr-FR"/>
              </w:rPr>
              <w:t>seule</w:t>
            </w:r>
            <w:r>
              <w:rPr>
                <w:rFonts w:asciiTheme="minorHAnsi" w:hAnsiTheme="minorHAnsi"/>
                <w:sz w:val="20"/>
                <w:szCs w:val="20"/>
                <w:lang w:val="fr-FR"/>
              </w:rPr>
              <w:t>ment</w:t>
            </w:r>
          </w:p>
          <w:p w:rsidR="00211FEB" w:rsidRPr="00211FEB" w:rsidRDefault="00680482" w:rsidP="00211FEB">
            <w:pPr>
              <w:pStyle w:val="ListParagraph"/>
              <w:numPr>
                <w:ilvl w:val="0"/>
                <w:numId w:val="12"/>
              </w:numPr>
              <w:rPr>
                <w:rFonts w:asciiTheme="minorHAnsi" w:hAnsiTheme="minorHAnsi"/>
                <w:sz w:val="20"/>
                <w:szCs w:val="20"/>
                <w:lang w:val="fr-FR"/>
              </w:rPr>
            </w:pPr>
            <w:r>
              <w:rPr>
                <w:rFonts w:asciiTheme="minorHAnsi" w:hAnsiTheme="minorHAnsi"/>
                <w:sz w:val="20"/>
                <w:szCs w:val="20"/>
                <w:lang w:val="fr-FR"/>
              </w:rPr>
              <w:t xml:space="preserve">la </w:t>
            </w:r>
            <w:r w:rsidR="00211FEB" w:rsidRPr="00211FEB">
              <w:rPr>
                <w:rFonts w:asciiTheme="minorHAnsi" w:hAnsiTheme="minorHAnsi"/>
                <w:sz w:val="20"/>
                <w:szCs w:val="20"/>
                <w:lang w:val="fr-FR"/>
              </w:rPr>
              <w:t>répartition équitable d</w:t>
            </w:r>
            <w:r w:rsidR="00360C3E">
              <w:rPr>
                <w:rFonts w:asciiTheme="minorHAnsi" w:hAnsiTheme="minorHAnsi"/>
                <w:sz w:val="20"/>
                <w:szCs w:val="20"/>
                <w:lang w:val="fr-FR"/>
              </w:rPr>
              <w:t xml:space="preserve">u niveau </w:t>
            </w:r>
            <w:r w:rsidR="00211FEB" w:rsidRPr="00211FEB">
              <w:rPr>
                <w:rFonts w:asciiTheme="minorHAnsi" w:hAnsiTheme="minorHAnsi"/>
                <w:sz w:val="20"/>
                <w:szCs w:val="20"/>
                <w:lang w:val="fr-FR"/>
              </w:rPr>
              <w:t xml:space="preserve"> de risq</w:t>
            </w:r>
            <w:r>
              <w:rPr>
                <w:rFonts w:asciiTheme="minorHAnsi" w:hAnsiTheme="minorHAnsi"/>
                <w:sz w:val="20"/>
                <w:szCs w:val="20"/>
                <w:lang w:val="fr-FR"/>
              </w:rPr>
              <w:t xml:space="preserve">ue (faible, modéré, </w:t>
            </w:r>
            <w:r w:rsidR="00086F11">
              <w:rPr>
                <w:rFonts w:asciiTheme="minorHAnsi" w:hAnsiTheme="minorHAnsi"/>
                <w:sz w:val="20"/>
                <w:szCs w:val="20"/>
                <w:lang w:val="fr-FR"/>
              </w:rPr>
              <w:t>significatif et</w:t>
            </w:r>
            <w:r w:rsidR="00211FEB" w:rsidRPr="00211FEB">
              <w:rPr>
                <w:rFonts w:asciiTheme="minorHAnsi" w:hAnsiTheme="minorHAnsi"/>
                <w:sz w:val="20"/>
                <w:szCs w:val="20"/>
                <w:lang w:val="fr-FR"/>
              </w:rPr>
              <w:t xml:space="preserve"> élevé sont repartis à hauteur de 25%).</w:t>
            </w:r>
          </w:p>
          <w:p w:rsidR="009027C3" w:rsidRPr="00211FEB" w:rsidRDefault="009027C3" w:rsidP="00211FEB">
            <w:pPr>
              <w:pStyle w:val="ListParagraph"/>
              <w:jc w:val="left"/>
              <w:rPr>
                <w:rFonts w:asciiTheme="minorHAnsi" w:hAnsiTheme="minorHAnsi"/>
                <w:sz w:val="20"/>
                <w:szCs w:val="20"/>
                <w:lang w:val="fr-FR"/>
              </w:rPr>
            </w:pPr>
          </w:p>
        </w:tc>
      </w:tr>
      <w:tr w:rsidR="00046844" w:rsidRPr="00114975" w:rsidTr="0037731E">
        <w:tc>
          <w:tcPr>
            <w:tcW w:w="1512" w:type="dxa"/>
            <w:shd w:val="clear" w:color="auto" w:fill="DEEAF6" w:themeFill="accent1" w:themeFillTint="33"/>
          </w:tcPr>
          <w:p w:rsidR="00046844" w:rsidRPr="00046844" w:rsidRDefault="004D591C">
            <w:pPr>
              <w:jc w:val="left"/>
              <w:rPr>
                <w:rFonts w:asciiTheme="minorHAnsi" w:hAnsiTheme="minorHAnsi"/>
                <w:b/>
                <w:sz w:val="20"/>
                <w:szCs w:val="20"/>
              </w:rPr>
            </w:pPr>
            <w:r>
              <w:rPr>
                <w:rFonts w:asciiTheme="minorHAnsi" w:hAnsiTheme="minorHAnsi"/>
                <w:b/>
                <w:sz w:val="20"/>
                <w:szCs w:val="20"/>
              </w:rPr>
              <w:lastRenderedPageBreak/>
              <w:t xml:space="preserve">Elaboration </w:t>
            </w:r>
            <w:r w:rsidR="005B7129">
              <w:rPr>
                <w:rFonts w:asciiTheme="minorHAnsi" w:hAnsiTheme="minorHAnsi"/>
                <w:b/>
                <w:sz w:val="20"/>
                <w:szCs w:val="20"/>
              </w:rPr>
              <w:t>de rapport</w:t>
            </w:r>
          </w:p>
        </w:tc>
        <w:tc>
          <w:tcPr>
            <w:tcW w:w="3618" w:type="dxa"/>
          </w:tcPr>
          <w:p w:rsidR="00046844" w:rsidRPr="00211FEB" w:rsidRDefault="00360C3E" w:rsidP="00360C3E">
            <w:pPr>
              <w:jc w:val="left"/>
              <w:rPr>
                <w:rFonts w:asciiTheme="minorHAnsi" w:hAnsiTheme="minorHAnsi"/>
                <w:sz w:val="20"/>
                <w:szCs w:val="20"/>
                <w:lang w:val="fr-FR"/>
              </w:rPr>
            </w:pPr>
            <w:r>
              <w:rPr>
                <w:rFonts w:asciiTheme="minorHAnsi" w:hAnsiTheme="minorHAnsi"/>
                <w:sz w:val="20"/>
                <w:szCs w:val="20"/>
                <w:lang w:val="fr-FR"/>
              </w:rPr>
              <w:t xml:space="preserve">Pas de format standard pour les rapports </w:t>
            </w:r>
            <w:r w:rsidR="00211FEB" w:rsidRPr="00211FEB">
              <w:rPr>
                <w:rFonts w:asciiTheme="minorHAnsi" w:hAnsiTheme="minorHAnsi"/>
                <w:sz w:val="20"/>
                <w:szCs w:val="20"/>
                <w:lang w:val="fr-FR"/>
              </w:rPr>
              <w:t xml:space="preserve"> - chaque fournisseur  élabor</w:t>
            </w:r>
            <w:r>
              <w:rPr>
                <w:rFonts w:asciiTheme="minorHAnsi" w:hAnsiTheme="minorHAnsi"/>
                <w:sz w:val="20"/>
                <w:szCs w:val="20"/>
                <w:lang w:val="fr-FR"/>
              </w:rPr>
              <w:t>e</w:t>
            </w:r>
            <w:r w:rsidR="00211FEB" w:rsidRPr="00211FEB">
              <w:rPr>
                <w:rFonts w:asciiTheme="minorHAnsi" w:hAnsiTheme="minorHAnsi"/>
                <w:sz w:val="20"/>
                <w:szCs w:val="20"/>
                <w:lang w:val="fr-FR"/>
              </w:rPr>
              <w:t xml:space="preserve"> son propre document.</w:t>
            </w:r>
          </w:p>
        </w:tc>
        <w:tc>
          <w:tcPr>
            <w:tcW w:w="4935" w:type="dxa"/>
          </w:tcPr>
          <w:p w:rsidR="00211FEB" w:rsidRPr="00211FEB" w:rsidRDefault="00211FEB" w:rsidP="00211FEB">
            <w:pPr>
              <w:jc w:val="left"/>
              <w:rPr>
                <w:rFonts w:asciiTheme="minorHAnsi" w:hAnsiTheme="minorHAnsi"/>
                <w:sz w:val="20"/>
                <w:szCs w:val="20"/>
                <w:lang w:val="fr-FR"/>
              </w:rPr>
            </w:pPr>
            <w:r w:rsidRPr="00211FEB">
              <w:rPr>
                <w:rFonts w:asciiTheme="minorHAnsi" w:hAnsiTheme="minorHAnsi"/>
                <w:sz w:val="20"/>
                <w:szCs w:val="20"/>
                <w:lang w:val="fr-FR"/>
              </w:rPr>
              <w:t xml:space="preserve">Les TDR ont été révisés pour inclure l'annexe 3: </w:t>
            </w:r>
            <w:r w:rsidR="00360C3E">
              <w:rPr>
                <w:rFonts w:asciiTheme="minorHAnsi" w:hAnsiTheme="minorHAnsi"/>
                <w:sz w:val="20"/>
                <w:szCs w:val="20"/>
                <w:lang w:val="fr-FR"/>
              </w:rPr>
              <w:t xml:space="preserve">format  du </w:t>
            </w:r>
            <w:r w:rsidRPr="00211FEB">
              <w:rPr>
                <w:rFonts w:asciiTheme="minorHAnsi" w:hAnsiTheme="minorHAnsi"/>
                <w:sz w:val="20"/>
                <w:szCs w:val="20"/>
                <w:lang w:val="fr-FR"/>
              </w:rPr>
              <w:t xml:space="preserve"> rapport de </w:t>
            </w:r>
            <w:proofErr w:type="spellStart"/>
            <w:r>
              <w:rPr>
                <w:rFonts w:asciiTheme="minorHAnsi" w:hAnsiTheme="minorHAnsi"/>
                <w:sz w:val="20"/>
                <w:szCs w:val="20"/>
                <w:lang w:val="fr-FR"/>
              </w:rPr>
              <w:t>micro</w:t>
            </w:r>
            <w:r w:rsidRPr="00211FEB">
              <w:rPr>
                <w:rFonts w:asciiTheme="minorHAnsi" w:hAnsiTheme="minorHAnsi"/>
                <w:sz w:val="20"/>
                <w:szCs w:val="20"/>
                <w:lang w:val="fr-FR"/>
              </w:rPr>
              <w:t>évaluation</w:t>
            </w:r>
            <w:proofErr w:type="spellEnd"/>
            <w:r w:rsidRPr="00211FEB">
              <w:rPr>
                <w:rFonts w:asciiTheme="minorHAnsi" w:hAnsiTheme="minorHAnsi"/>
                <w:sz w:val="20"/>
                <w:szCs w:val="20"/>
                <w:lang w:val="fr-FR"/>
              </w:rPr>
              <w:t xml:space="preserve"> - un rapport standard qui comprend:</w:t>
            </w:r>
          </w:p>
          <w:p w:rsidR="00211FEB" w:rsidRPr="00211FEB" w:rsidRDefault="00211FEB" w:rsidP="00211FEB">
            <w:pPr>
              <w:pStyle w:val="ListParagraph"/>
              <w:numPr>
                <w:ilvl w:val="0"/>
                <w:numId w:val="13"/>
              </w:numPr>
              <w:rPr>
                <w:rFonts w:asciiTheme="minorHAnsi" w:hAnsiTheme="minorHAnsi"/>
                <w:sz w:val="20"/>
                <w:szCs w:val="20"/>
                <w:lang w:val="fr-FR"/>
              </w:rPr>
            </w:pPr>
            <w:r w:rsidRPr="00211FEB">
              <w:rPr>
                <w:rFonts w:asciiTheme="minorHAnsi" w:hAnsiTheme="minorHAnsi"/>
                <w:sz w:val="20"/>
                <w:szCs w:val="20"/>
                <w:lang w:val="fr-FR"/>
              </w:rPr>
              <w:t>Le contexte, le champ d’application et la méthodologie</w:t>
            </w:r>
          </w:p>
          <w:p w:rsidR="00211FEB" w:rsidRPr="00211FEB" w:rsidRDefault="00211FEB" w:rsidP="00211FEB">
            <w:pPr>
              <w:pStyle w:val="ListParagraph"/>
              <w:numPr>
                <w:ilvl w:val="0"/>
                <w:numId w:val="13"/>
              </w:numPr>
              <w:rPr>
                <w:rFonts w:asciiTheme="minorHAnsi" w:hAnsiTheme="minorHAnsi"/>
                <w:sz w:val="20"/>
                <w:szCs w:val="20"/>
                <w:lang w:val="fr-FR"/>
              </w:rPr>
            </w:pPr>
            <w:r w:rsidRPr="00211FEB">
              <w:rPr>
                <w:rFonts w:asciiTheme="minorHAnsi" w:hAnsiTheme="minorHAnsi"/>
                <w:sz w:val="20"/>
                <w:szCs w:val="20"/>
                <w:lang w:val="fr-FR"/>
              </w:rPr>
              <w:t xml:space="preserve">Résumé des résultats de l'évaluation des risques </w:t>
            </w:r>
          </w:p>
          <w:p w:rsidR="00211FEB" w:rsidRPr="00211FEB" w:rsidRDefault="00360C3E" w:rsidP="00211FEB">
            <w:pPr>
              <w:pStyle w:val="ListParagraph"/>
              <w:numPr>
                <w:ilvl w:val="0"/>
                <w:numId w:val="13"/>
              </w:numPr>
              <w:rPr>
                <w:rFonts w:asciiTheme="minorHAnsi" w:hAnsiTheme="minorHAnsi"/>
                <w:sz w:val="20"/>
                <w:szCs w:val="20"/>
                <w:lang w:val="fr-FR"/>
              </w:rPr>
            </w:pPr>
            <w:r>
              <w:rPr>
                <w:rFonts w:asciiTheme="minorHAnsi" w:hAnsiTheme="minorHAnsi"/>
                <w:sz w:val="20"/>
                <w:szCs w:val="20"/>
                <w:lang w:val="fr-FR"/>
              </w:rPr>
              <w:t xml:space="preserve">Constats </w:t>
            </w:r>
            <w:r w:rsidR="00211FEB" w:rsidRPr="00211FEB">
              <w:rPr>
                <w:rFonts w:asciiTheme="minorHAnsi" w:hAnsiTheme="minorHAnsi"/>
                <w:sz w:val="20"/>
                <w:szCs w:val="20"/>
                <w:lang w:val="fr-FR"/>
              </w:rPr>
              <w:t xml:space="preserve"> détaillés du contrôle interne et </w:t>
            </w:r>
            <w:r w:rsidR="00680482">
              <w:rPr>
                <w:rFonts w:asciiTheme="minorHAnsi" w:hAnsiTheme="minorHAnsi"/>
                <w:sz w:val="20"/>
                <w:szCs w:val="20"/>
                <w:lang w:val="fr-FR"/>
              </w:rPr>
              <w:t>des</w:t>
            </w:r>
            <w:r w:rsidR="00211FEB" w:rsidRPr="00211FEB">
              <w:rPr>
                <w:rFonts w:asciiTheme="minorHAnsi" w:hAnsiTheme="minorHAnsi"/>
                <w:sz w:val="20"/>
                <w:szCs w:val="20"/>
                <w:lang w:val="fr-FR"/>
              </w:rPr>
              <w:t xml:space="preserve"> recommandations</w:t>
            </w:r>
          </w:p>
          <w:p w:rsidR="00046844" w:rsidRPr="00211FEB" w:rsidRDefault="00211FEB" w:rsidP="00211FEB">
            <w:pPr>
              <w:pStyle w:val="ListParagraph"/>
              <w:numPr>
                <w:ilvl w:val="0"/>
                <w:numId w:val="13"/>
              </w:numPr>
              <w:rPr>
                <w:rFonts w:asciiTheme="minorHAnsi" w:hAnsiTheme="minorHAnsi"/>
                <w:sz w:val="20"/>
                <w:szCs w:val="20"/>
                <w:lang w:val="fr-FR"/>
              </w:rPr>
            </w:pPr>
            <w:r w:rsidRPr="00211FEB">
              <w:rPr>
                <w:rFonts w:asciiTheme="minorHAnsi" w:hAnsiTheme="minorHAnsi"/>
                <w:sz w:val="20"/>
                <w:szCs w:val="20"/>
                <w:lang w:val="fr-FR"/>
              </w:rPr>
              <w:t>Principales information</w:t>
            </w:r>
            <w:r w:rsidR="00680482">
              <w:rPr>
                <w:rFonts w:asciiTheme="minorHAnsi" w:hAnsiTheme="minorHAnsi"/>
                <w:sz w:val="20"/>
                <w:szCs w:val="20"/>
                <w:lang w:val="fr-FR"/>
              </w:rPr>
              <w:t>s</w:t>
            </w:r>
            <w:r w:rsidRPr="00211FEB">
              <w:rPr>
                <w:rFonts w:asciiTheme="minorHAnsi" w:hAnsiTheme="minorHAnsi"/>
                <w:sz w:val="20"/>
                <w:szCs w:val="20"/>
                <w:lang w:val="fr-FR"/>
              </w:rPr>
              <w:t xml:space="preserve">  sur le Partenaire d’exécution</w:t>
            </w:r>
          </w:p>
        </w:tc>
      </w:tr>
    </w:tbl>
    <w:p w:rsidR="001658E4" w:rsidRPr="00211FEB" w:rsidRDefault="001658E4" w:rsidP="00EE1391">
      <w:pPr>
        <w:rPr>
          <w:rFonts w:asciiTheme="minorHAnsi" w:hAnsiTheme="minorHAnsi"/>
          <w:sz w:val="20"/>
          <w:szCs w:val="20"/>
          <w:lang w:val="fr-FR"/>
        </w:rPr>
      </w:pPr>
    </w:p>
    <w:sectPr w:rsidR="001658E4" w:rsidRPr="00211FEB" w:rsidSect="00BD61C0">
      <w:headerReference w:type="default" r:id="rId13"/>
      <w:pgSz w:w="12240" w:h="15840"/>
      <w:pgMar w:top="1170"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B8E" w:rsidRDefault="004A2B8E" w:rsidP="0059523D">
      <w:r>
        <w:separator/>
      </w:r>
    </w:p>
  </w:endnote>
  <w:endnote w:type="continuationSeparator" w:id="0">
    <w:p w:rsidR="004A2B8E" w:rsidRDefault="004A2B8E" w:rsidP="0059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B8E" w:rsidRDefault="004A2B8E" w:rsidP="0059523D">
      <w:r>
        <w:separator/>
      </w:r>
    </w:p>
  </w:footnote>
  <w:footnote w:type="continuationSeparator" w:id="0">
    <w:p w:rsidR="004A2B8E" w:rsidRDefault="004A2B8E" w:rsidP="00595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D2D" w:rsidRPr="00112FA4" w:rsidRDefault="009F7484">
    <w:pPr>
      <w:pStyle w:val="Header"/>
      <w:rPr>
        <w:b/>
        <w:color w:val="FFFFFF" w:themeColor="background1"/>
        <w:sz w:val="28"/>
      </w:rPr>
    </w:pPr>
    <w:r>
      <w:rPr>
        <w:rFonts w:cs="Arial"/>
        <w:noProof/>
        <w:color w:val="222222"/>
      </w:rPr>
      <w:drawing>
        <wp:anchor distT="0" distB="0" distL="114300" distR="114300" simplePos="0" relativeHeight="251667456" behindDoc="0" locked="0" layoutInCell="1" allowOverlap="1">
          <wp:simplePos x="0" y="0"/>
          <wp:positionH relativeFrom="column">
            <wp:posOffset>4861560</wp:posOffset>
          </wp:positionH>
          <wp:positionV relativeFrom="paragraph">
            <wp:posOffset>-360045</wp:posOffset>
          </wp:positionV>
          <wp:extent cx="581025" cy="1164590"/>
          <wp:effectExtent l="0" t="0" r="9525" b="0"/>
          <wp:wrapTopAndBottom/>
          <wp:docPr id="1" name="Picture 1" descr="C:\Users\snikolov\Pictures\Logo_UND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ikolov\Pictures\Logo_UNDP.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1164590"/>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-131445</wp:posOffset>
          </wp:positionV>
          <wp:extent cx="1695450" cy="7700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FPA_logo.bmp"/>
                  <pic:cNvPicPr/>
                </pic:nvPicPr>
                <pic:blipFill>
                  <a:blip r:embed="rId2">
                    <a:extLst>
                      <a:ext uri="{28A0092B-C50C-407E-A947-70E740481C1C}">
                        <a14:useLocalDpi xmlns:a14="http://schemas.microsoft.com/office/drawing/2010/main" val="0"/>
                      </a:ext>
                    </a:extLst>
                  </a:blip>
                  <a:stretch>
                    <a:fillRect/>
                  </a:stretch>
                </pic:blipFill>
                <pic:spPr>
                  <a:xfrm>
                    <a:off x="0" y="0"/>
                    <a:ext cx="1695450" cy="770030"/>
                  </a:xfrm>
                  <a:prstGeom prst="rect">
                    <a:avLst/>
                  </a:prstGeom>
                </pic:spPr>
              </pic:pic>
            </a:graphicData>
          </a:graphic>
        </wp:anchor>
      </w:drawing>
    </w:r>
    <w:r>
      <w:rPr>
        <w:rFonts w:cs="Arial"/>
        <w:noProof/>
        <w:color w:val="222222"/>
      </w:rPr>
      <w:drawing>
        <wp:anchor distT="0" distB="0" distL="114300" distR="114300" simplePos="0" relativeHeight="251668480" behindDoc="0" locked="0" layoutInCell="1" allowOverlap="1">
          <wp:simplePos x="0" y="0"/>
          <wp:positionH relativeFrom="column">
            <wp:posOffset>251460</wp:posOffset>
          </wp:positionH>
          <wp:positionV relativeFrom="paragraph">
            <wp:posOffset>49530</wp:posOffset>
          </wp:positionV>
          <wp:extent cx="1533525" cy="371475"/>
          <wp:effectExtent l="0" t="0" r="9525" b="9525"/>
          <wp:wrapTopAndBottom/>
          <wp:docPr id="3" name="Picture 3" descr="C:\Users\snikolov\Pictures\UNICEF_logo_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nikolov\Pictures\UNICEF_logo_Cya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anchor>
      </w:drawing>
    </w:r>
    <w:r w:rsidR="00112FA4" w:rsidRPr="00112FA4">
      <w:rPr>
        <w:b/>
        <w:noProof/>
        <w:color w:val="FFFFFF" w:themeColor="background1"/>
        <w:sz w:val="28"/>
      </w:rPr>
      <w:drawing>
        <wp:anchor distT="0" distB="0" distL="114300" distR="114300" simplePos="0" relativeHeight="251660288" behindDoc="0" locked="0" layoutInCell="1" allowOverlap="1">
          <wp:simplePos x="0" y="0"/>
          <wp:positionH relativeFrom="margin">
            <wp:posOffset>36195</wp:posOffset>
          </wp:positionH>
          <wp:positionV relativeFrom="paragraph">
            <wp:posOffset>-183515</wp:posOffset>
          </wp:positionV>
          <wp:extent cx="1533525" cy="371475"/>
          <wp:effectExtent l="0" t="0" r="9525" b="9525"/>
          <wp:wrapNone/>
          <wp:docPr id="4" name="Picture 4" descr="C:\Users\schiarucci\Documents\NY\DOC\UNICEF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iarucci\Documents\NY\DOC\UNICEF_logo_whi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anchor>
      </w:drawing>
    </w:r>
    <w:r w:rsidRPr="009F7484">
      <w:rPr>
        <w:rFonts w:cs="Arial"/>
        <w:color w:val="2222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2D99"/>
    <w:multiLevelType w:val="hybridMultilevel"/>
    <w:tmpl w:val="1524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65408"/>
    <w:multiLevelType w:val="hybridMultilevel"/>
    <w:tmpl w:val="E776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AC3458"/>
    <w:multiLevelType w:val="hybridMultilevel"/>
    <w:tmpl w:val="A4469DC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84E21A0"/>
    <w:multiLevelType w:val="hybridMultilevel"/>
    <w:tmpl w:val="6FEC1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E36035"/>
    <w:multiLevelType w:val="hybridMultilevel"/>
    <w:tmpl w:val="597430B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9D610F1"/>
    <w:multiLevelType w:val="hybridMultilevel"/>
    <w:tmpl w:val="4CA609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B46CAB"/>
    <w:multiLevelType w:val="hybridMultilevel"/>
    <w:tmpl w:val="F876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A40482"/>
    <w:multiLevelType w:val="hybridMultilevel"/>
    <w:tmpl w:val="2B34F13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7F30EC"/>
    <w:multiLevelType w:val="hybridMultilevel"/>
    <w:tmpl w:val="0DD2AC8C"/>
    <w:lvl w:ilvl="0" w:tplc="2474E2FE">
      <w:start w:val="1"/>
      <w:numFmt w:val="bullet"/>
      <w:lvlText w:val="ᴥ"/>
      <w:lvlJc w:val="left"/>
      <w:pPr>
        <w:ind w:left="363" w:hanging="360"/>
      </w:pPr>
      <w:rPr>
        <w:rFonts w:ascii="Arial" w:hAnsi="Aria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nsid w:val="5AC32D0C"/>
    <w:multiLevelType w:val="hybridMultilevel"/>
    <w:tmpl w:val="E6445ABC"/>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0">
    <w:nsid w:val="6D9D5CE2"/>
    <w:multiLevelType w:val="hybridMultilevel"/>
    <w:tmpl w:val="225C8ED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85368E4"/>
    <w:multiLevelType w:val="hybridMultilevel"/>
    <w:tmpl w:val="5CA470E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8FC1C80"/>
    <w:multiLevelType w:val="hybridMultilevel"/>
    <w:tmpl w:val="15FA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2"/>
  </w:num>
  <w:num w:numId="5">
    <w:abstractNumId w:val="5"/>
  </w:num>
  <w:num w:numId="6">
    <w:abstractNumId w:val="4"/>
  </w:num>
  <w:num w:numId="7">
    <w:abstractNumId w:val="7"/>
  </w:num>
  <w:num w:numId="8">
    <w:abstractNumId w:val="9"/>
  </w:num>
  <w:num w:numId="9">
    <w:abstractNumId w:val="1"/>
  </w:num>
  <w:num w:numId="10">
    <w:abstractNumId w:val="6"/>
  </w:num>
  <w:num w:numId="11">
    <w:abstractNumId w:val="3"/>
  </w:num>
  <w:num w:numId="12">
    <w:abstractNumId w:val="12"/>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Isabelle Kadio">
    <w15:presenceInfo w15:providerId="AD" w15:userId="S-1-5-21-889838981-920820592-1903951286-733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5A"/>
    <w:rsid w:val="000255AC"/>
    <w:rsid w:val="00046844"/>
    <w:rsid w:val="00061AA3"/>
    <w:rsid w:val="00074FF9"/>
    <w:rsid w:val="00083031"/>
    <w:rsid w:val="00086355"/>
    <w:rsid w:val="00086F01"/>
    <w:rsid w:val="00086F11"/>
    <w:rsid w:val="000C6CDC"/>
    <w:rsid w:val="000D327B"/>
    <w:rsid w:val="001029EE"/>
    <w:rsid w:val="00102F71"/>
    <w:rsid w:val="00105221"/>
    <w:rsid w:val="00110F62"/>
    <w:rsid w:val="00112FA4"/>
    <w:rsid w:val="00114975"/>
    <w:rsid w:val="00137A4B"/>
    <w:rsid w:val="001658E4"/>
    <w:rsid w:val="001752E0"/>
    <w:rsid w:val="001D1E0D"/>
    <w:rsid w:val="001D5806"/>
    <w:rsid w:val="001E305A"/>
    <w:rsid w:val="001F2991"/>
    <w:rsid w:val="00207D61"/>
    <w:rsid w:val="00211FEB"/>
    <w:rsid w:val="002367A5"/>
    <w:rsid w:val="002453B5"/>
    <w:rsid w:val="002514C1"/>
    <w:rsid w:val="00256BAD"/>
    <w:rsid w:val="002604FC"/>
    <w:rsid w:val="00263CEA"/>
    <w:rsid w:val="00291B92"/>
    <w:rsid w:val="002A2074"/>
    <w:rsid w:val="002E3077"/>
    <w:rsid w:val="002E6574"/>
    <w:rsid w:val="002F68AF"/>
    <w:rsid w:val="00360C3E"/>
    <w:rsid w:val="003748CF"/>
    <w:rsid w:val="0037731E"/>
    <w:rsid w:val="003C0753"/>
    <w:rsid w:val="003D7637"/>
    <w:rsid w:val="003F468F"/>
    <w:rsid w:val="00444027"/>
    <w:rsid w:val="00472235"/>
    <w:rsid w:val="004740A4"/>
    <w:rsid w:val="0047505A"/>
    <w:rsid w:val="00476568"/>
    <w:rsid w:val="004A2B8E"/>
    <w:rsid w:val="004C2D2D"/>
    <w:rsid w:val="004D591C"/>
    <w:rsid w:val="004E0618"/>
    <w:rsid w:val="0055751E"/>
    <w:rsid w:val="005866C4"/>
    <w:rsid w:val="0059523D"/>
    <w:rsid w:val="005A1073"/>
    <w:rsid w:val="005B7129"/>
    <w:rsid w:val="005D116B"/>
    <w:rsid w:val="005E38A4"/>
    <w:rsid w:val="005F752B"/>
    <w:rsid w:val="00620958"/>
    <w:rsid w:val="00657288"/>
    <w:rsid w:val="00672838"/>
    <w:rsid w:val="0068026C"/>
    <w:rsid w:val="00680482"/>
    <w:rsid w:val="006C3605"/>
    <w:rsid w:val="006E1A4E"/>
    <w:rsid w:val="007B0F37"/>
    <w:rsid w:val="007C3885"/>
    <w:rsid w:val="007F4550"/>
    <w:rsid w:val="00806523"/>
    <w:rsid w:val="008134E3"/>
    <w:rsid w:val="00876FB5"/>
    <w:rsid w:val="008865F7"/>
    <w:rsid w:val="008A7ACA"/>
    <w:rsid w:val="008E4DAF"/>
    <w:rsid w:val="008F59F0"/>
    <w:rsid w:val="009027C3"/>
    <w:rsid w:val="009101CC"/>
    <w:rsid w:val="00921A46"/>
    <w:rsid w:val="0093125C"/>
    <w:rsid w:val="00933FCE"/>
    <w:rsid w:val="0093764E"/>
    <w:rsid w:val="00967C91"/>
    <w:rsid w:val="009A1287"/>
    <w:rsid w:val="009B103C"/>
    <w:rsid w:val="009D3EE6"/>
    <w:rsid w:val="009D51E2"/>
    <w:rsid w:val="009F0D47"/>
    <w:rsid w:val="009F7484"/>
    <w:rsid w:val="00A13EB0"/>
    <w:rsid w:val="00A23F0A"/>
    <w:rsid w:val="00A35A79"/>
    <w:rsid w:val="00A82545"/>
    <w:rsid w:val="00A87786"/>
    <w:rsid w:val="00A97156"/>
    <w:rsid w:val="00AA0A4B"/>
    <w:rsid w:val="00AB4AC5"/>
    <w:rsid w:val="00BB68F8"/>
    <w:rsid w:val="00BD103E"/>
    <w:rsid w:val="00BD61C0"/>
    <w:rsid w:val="00BE17CE"/>
    <w:rsid w:val="00C160CE"/>
    <w:rsid w:val="00C325F8"/>
    <w:rsid w:val="00C54F90"/>
    <w:rsid w:val="00C70942"/>
    <w:rsid w:val="00C70951"/>
    <w:rsid w:val="00CA225C"/>
    <w:rsid w:val="00CA6EF8"/>
    <w:rsid w:val="00CB3761"/>
    <w:rsid w:val="00CB6E5F"/>
    <w:rsid w:val="00CD2D1A"/>
    <w:rsid w:val="00CD4035"/>
    <w:rsid w:val="00CF0ED9"/>
    <w:rsid w:val="00D071C9"/>
    <w:rsid w:val="00D13DED"/>
    <w:rsid w:val="00D81CD1"/>
    <w:rsid w:val="00D94539"/>
    <w:rsid w:val="00DA3807"/>
    <w:rsid w:val="00DC0BCC"/>
    <w:rsid w:val="00DC1A20"/>
    <w:rsid w:val="00DC6377"/>
    <w:rsid w:val="00DD03F4"/>
    <w:rsid w:val="00DE310C"/>
    <w:rsid w:val="00E00574"/>
    <w:rsid w:val="00E215C3"/>
    <w:rsid w:val="00E32B34"/>
    <w:rsid w:val="00E41581"/>
    <w:rsid w:val="00E51BFB"/>
    <w:rsid w:val="00E56A11"/>
    <w:rsid w:val="00E6362B"/>
    <w:rsid w:val="00E661F1"/>
    <w:rsid w:val="00EB3B6B"/>
    <w:rsid w:val="00EB73A2"/>
    <w:rsid w:val="00ED6243"/>
    <w:rsid w:val="00EE1391"/>
    <w:rsid w:val="00EE2E9D"/>
    <w:rsid w:val="00EF57B0"/>
    <w:rsid w:val="00F101BA"/>
    <w:rsid w:val="00F117B6"/>
    <w:rsid w:val="00F34277"/>
    <w:rsid w:val="00F71923"/>
    <w:rsid w:val="00F8102D"/>
    <w:rsid w:val="00F8540F"/>
    <w:rsid w:val="00FA6AB9"/>
    <w:rsid w:val="00FF6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11"/>
    <w:pPr>
      <w:spacing w:after="0" w:line="240" w:lineRule="auto"/>
      <w:jc w:val="both"/>
    </w:pPr>
    <w:rPr>
      <w:rFonts w:ascii="Arial" w:hAnsi="Arial"/>
    </w:rPr>
  </w:style>
  <w:style w:type="paragraph" w:styleId="Heading1">
    <w:name w:val="heading 1"/>
    <w:basedOn w:val="Normal"/>
    <w:next w:val="Normal"/>
    <w:link w:val="Heading1Char"/>
    <w:uiPriority w:val="9"/>
    <w:qFormat/>
    <w:rsid w:val="00112FA4"/>
    <w:pPr>
      <w:keepNext/>
      <w:tabs>
        <w:tab w:val="left" w:pos="426"/>
      </w:tabs>
      <w:spacing w:before="360" w:after="120"/>
      <w:outlineLvl w:val="0"/>
    </w:pPr>
    <w:rPr>
      <w:rFonts w:ascii="Arial Bold" w:eastAsia="Times" w:hAnsi="Arial Bold" w:cs="Times New Roman"/>
      <w:color w:val="0099FF"/>
      <w:spacing w:val="-2"/>
      <w:sz w:val="24"/>
      <w:szCs w:val="36"/>
      <w:lang w:val="en-GB" w:eastAsia="en-GB"/>
    </w:rPr>
  </w:style>
  <w:style w:type="paragraph" w:styleId="Heading2">
    <w:name w:val="heading 2"/>
    <w:basedOn w:val="Normal"/>
    <w:next w:val="Normal"/>
    <w:link w:val="Heading2Char"/>
    <w:uiPriority w:val="9"/>
    <w:unhideWhenUsed/>
    <w:qFormat/>
    <w:rsid w:val="00E56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A4"/>
    <w:rPr>
      <w:rFonts w:ascii="Arial Bold" w:eastAsia="Times" w:hAnsi="Arial Bold" w:cs="Times New Roman"/>
      <w:color w:val="0099FF"/>
      <w:spacing w:val="-2"/>
      <w:sz w:val="24"/>
      <w:szCs w:val="36"/>
      <w:lang w:val="en-GB" w:eastAsia="en-GB"/>
    </w:rPr>
  </w:style>
  <w:style w:type="character" w:customStyle="1" w:styleId="Heading2Char">
    <w:name w:val="Heading 2 Char"/>
    <w:basedOn w:val="DefaultParagraphFont"/>
    <w:link w:val="Heading2"/>
    <w:uiPriority w:val="9"/>
    <w:rsid w:val="00E56A1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A11"/>
    <w:pPr>
      <w:ind w:left="720"/>
      <w:contextualSpacing/>
    </w:pPr>
  </w:style>
  <w:style w:type="paragraph" w:styleId="FootnoteText">
    <w:name w:val="footnote text"/>
    <w:basedOn w:val="Normal"/>
    <w:link w:val="FootnoteTextChar"/>
    <w:uiPriority w:val="99"/>
    <w:semiHidden/>
    <w:unhideWhenUsed/>
    <w:rsid w:val="0059523D"/>
    <w:rPr>
      <w:sz w:val="16"/>
      <w:szCs w:val="20"/>
    </w:rPr>
  </w:style>
  <w:style w:type="character" w:customStyle="1" w:styleId="FootnoteTextChar">
    <w:name w:val="Footnote Text Char"/>
    <w:basedOn w:val="DefaultParagraphFont"/>
    <w:link w:val="FootnoteText"/>
    <w:uiPriority w:val="99"/>
    <w:semiHidden/>
    <w:rsid w:val="0059523D"/>
    <w:rPr>
      <w:rFonts w:ascii="Arial" w:hAnsi="Arial"/>
      <w:sz w:val="16"/>
      <w:szCs w:val="20"/>
    </w:rPr>
  </w:style>
  <w:style w:type="character" w:styleId="FootnoteReference">
    <w:name w:val="footnote reference"/>
    <w:basedOn w:val="DefaultParagraphFont"/>
    <w:uiPriority w:val="99"/>
    <w:semiHidden/>
    <w:unhideWhenUsed/>
    <w:rsid w:val="0059523D"/>
    <w:rPr>
      <w:vertAlign w:val="superscript"/>
    </w:rPr>
  </w:style>
  <w:style w:type="paragraph" w:styleId="BalloonText">
    <w:name w:val="Balloon Text"/>
    <w:basedOn w:val="Normal"/>
    <w:link w:val="BalloonTextChar"/>
    <w:uiPriority w:val="99"/>
    <w:semiHidden/>
    <w:unhideWhenUsed/>
    <w:rsid w:val="004E0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11"/>
    <w:pPr>
      <w:spacing w:after="0" w:line="240" w:lineRule="auto"/>
      <w:jc w:val="both"/>
    </w:pPr>
    <w:rPr>
      <w:rFonts w:ascii="Arial" w:hAnsi="Arial"/>
    </w:rPr>
  </w:style>
  <w:style w:type="paragraph" w:styleId="Heading1">
    <w:name w:val="heading 1"/>
    <w:basedOn w:val="Normal"/>
    <w:next w:val="Normal"/>
    <w:link w:val="Heading1Char"/>
    <w:uiPriority w:val="9"/>
    <w:qFormat/>
    <w:rsid w:val="00112FA4"/>
    <w:pPr>
      <w:keepNext/>
      <w:tabs>
        <w:tab w:val="left" w:pos="426"/>
      </w:tabs>
      <w:spacing w:before="360" w:after="120"/>
      <w:outlineLvl w:val="0"/>
    </w:pPr>
    <w:rPr>
      <w:rFonts w:ascii="Arial Bold" w:eastAsia="Times" w:hAnsi="Arial Bold" w:cs="Times New Roman"/>
      <w:color w:val="0099FF"/>
      <w:spacing w:val="-2"/>
      <w:sz w:val="24"/>
      <w:szCs w:val="36"/>
      <w:lang w:val="en-GB" w:eastAsia="en-GB"/>
    </w:rPr>
  </w:style>
  <w:style w:type="paragraph" w:styleId="Heading2">
    <w:name w:val="heading 2"/>
    <w:basedOn w:val="Normal"/>
    <w:next w:val="Normal"/>
    <w:link w:val="Heading2Char"/>
    <w:uiPriority w:val="9"/>
    <w:unhideWhenUsed/>
    <w:qFormat/>
    <w:rsid w:val="00E56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A4"/>
    <w:rPr>
      <w:rFonts w:ascii="Arial Bold" w:eastAsia="Times" w:hAnsi="Arial Bold" w:cs="Times New Roman"/>
      <w:color w:val="0099FF"/>
      <w:spacing w:val="-2"/>
      <w:sz w:val="24"/>
      <w:szCs w:val="36"/>
      <w:lang w:val="en-GB" w:eastAsia="en-GB"/>
    </w:rPr>
  </w:style>
  <w:style w:type="character" w:customStyle="1" w:styleId="Heading2Char">
    <w:name w:val="Heading 2 Char"/>
    <w:basedOn w:val="DefaultParagraphFont"/>
    <w:link w:val="Heading2"/>
    <w:uiPriority w:val="9"/>
    <w:rsid w:val="00E56A1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A11"/>
    <w:pPr>
      <w:ind w:left="720"/>
      <w:contextualSpacing/>
    </w:pPr>
  </w:style>
  <w:style w:type="paragraph" w:styleId="FootnoteText">
    <w:name w:val="footnote text"/>
    <w:basedOn w:val="Normal"/>
    <w:link w:val="FootnoteTextChar"/>
    <w:uiPriority w:val="99"/>
    <w:semiHidden/>
    <w:unhideWhenUsed/>
    <w:rsid w:val="0059523D"/>
    <w:rPr>
      <w:sz w:val="16"/>
      <w:szCs w:val="20"/>
    </w:rPr>
  </w:style>
  <w:style w:type="character" w:customStyle="1" w:styleId="FootnoteTextChar">
    <w:name w:val="Footnote Text Char"/>
    <w:basedOn w:val="DefaultParagraphFont"/>
    <w:link w:val="FootnoteText"/>
    <w:uiPriority w:val="99"/>
    <w:semiHidden/>
    <w:rsid w:val="0059523D"/>
    <w:rPr>
      <w:rFonts w:ascii="Arial" w:hAnsi="Arial"/>
      <w:sz w:val="16"/>
      <w:szCs w:val="20"/>
    </w:rPr>
  </w:style>
  <w:style w:type="character" w:styleId="FootnoteReference">
    <w:name w:val="footnote reference"/>
    <w:basedOn w:val="DefaultParagraphFont"/>
    <w:uiPriority w:val="99"/>
    <w:semiHidden/>
    <w:unhideWhenUsed/>
    <w:rsid w:val="0059523D"/>
    <w:rPr>
      <w:vertAlign w:val="superscript"/>
    </w:rPr>
  </w:style>
  <w:style w:type="paragraph" w:styleId="BalloonText">
    <w:name w:val="Balloon Text"/>
    <w:basedOn w:val="Normal"/>
    <w:link w:val="BalloonTextChar"/>
    <w:uiPriority w:val="99"/>
    <w:semiHidden/>
    <w:unhideWhenUsed/>
    <w:rsid w:val="004E0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undg.org/home/guidance-policies/business-operations/common-services-and-harmonized-business-practices/"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12639A0FD7E34F9932645637EF1EE1" ma:contentTypeVersion="2" ma:contentTypeDescription="Create a new document." ma:contentTypeScope="" ma:versionID="9e749776cf0a3003e75e0a204888c8ea">
  <xsd:schema xmlns:xsd="http://www.w3.org/2001/XMLSchema" xmlns:xs="http://www.w3.org/2001/XMLSchema" xmlns:p="http://schemas.microsoft.com/office/2006/metadata/properties" xmlns:ns2="a05ba9a2-7b22-49fc-bc05-68debef467ae" targetNamespace="http://schemas.microsoft.com/office/2006/metadata/properties" ma:root="true" ma:fieldsID="4f00c44805b3f70397381df4b0fee93d" ns2:_="">
    <xsd:import namespace="a05ba9a2-7b22-49fc-bc05-68debef467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ba9a2-7b22-49fc-bc05-68debef467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716E7-112E-4C16-B485-469941B367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EF75F-CA29-48B4-9CC7-E41B29B9F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ba9a2-7b22-49fc-bc05-68debef4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242C3-C7DC-4E83-AA2B-B59795D4BE28}">
  <ds:schemaRefs>
    <ds:schemaRef ds:uri="http://schemas.microsoft.com/sharepoint/v3/contenttype/forms"/>
  </ds:schemaRefs>
</ds:datastoreItem>
</file>

<file path=customXml/itemProps4.xml><?xml version="1.0" encoding="utf-8"?>
<ds:datastoreItem xmlns:ds="http://schemas.openxmlformats.org/officeDocument/2006/customXml" ds:itemID="{F216DA1D-686B-43BC-97A2-D346036C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UNICEF</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Chiarucci</dc:creator>
  <cp:lastModifiedBy>Moussa Fall</cp:lastModifiedBy>
  <cp:revision>2</cp:revision>
  <cp:lastPrinted>2015-02-18T23:48:00Z</cp:lastPrinted>
  <dcterms:created xsi:type="dcterms:W3CDTF">2016-07-11T10:29:00Z</dcterms:created>
  <dcterms:modified xsi:type="dcterms:W3CDTF">2016-07-11T10:29:00Z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0x010100E712639A0FD7E34F9932645637EF1EE1</vt:lpwstr>
  </property>
</Properties>
</file>