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EC939" w14:textId="77777777" w:rsidR="007413ED" w:rsidRPr="005D40C5" w:rsidRDefault="005D5D44" w:rsidP="007413ED">
      <w:pPr>
        <w:pStyle w:val="Subtitle"/>
        <w:tabs>
          <w:tab w:val="left" w:pos="540"/>
          <w:tab w:val="left" w:pos="864"/>
          <w:tab w:val="left" w:pos="1584"/>
          <w:tab w:val="left" w:pos="2304"/>
        </w:tabs>
        <w:suppressAutoHyphens/>
        <w:rPr>
          <w:rFonts w:ascii="Calibri" w:hAnsi="Calibri"/>
          <w:sz w:val="28"/>
          <w:szCs w:val="28"/>
          <w:lang w:val="en-GB"/>
        </w:rPr>
      </w:pPr>
      <w:bookmarkStart w:id="0" w:name="_GoBack"/>
      <w:bookmarkEnd w:id="0"/>
      <w:r w:rsidRPr="005D40C5">
        <w:rPr>
          <w:rFonts w:ascii="Calibri" w:hAnsi="Calibri"/>
          <w:sz w:val="28"/>
          <w:szCs w:val="28"/>
        </w:rPr>
        <w:t xml:space="preserve">MDTF </w:t>
      </w:r>
      <w:r w:rsidR="007413ED" w:rsidRPr="005D40C5">
        <w:rPr>
          <w:rFonts w:ascii="Calibri" w:hAnsi="Calibri"/>
          <w:sz w:val="28"/>
          <w:szCs w:val="28"/>
        </w:rPr>
        <w:t>Generic Terms of Reference</w:t>
      </w:r>
      <w:r w:rsidR="007413ED" w:rsidRPr="005D40C5">
        <w:rPr>
          <w:rStyle w:val="FootnoteReference"/>
          <w:rFonts w:ascii="Calibri" w:hAnsi="Calibri"/>
          <w:sz w:val="28"/>
          <w:szCs w:val="28"/>
          <w:lang w:val="en-GB"/>
        </w:rPr>
        <w:footnoteReference w:id="1"/>
      </w:r>
    </w:p>
    <w:p w14:paraId="097EC93A" w14:textId="77777777" w:rsidR="007413ED" w:rsidRPr="005D40C5" w:rsidRDefault="007413ED" w:rsidP="007413ED">
      <w:pPr>
        <w:pStyle w:val="Subtitle"/>
        <w:tabs>
          <w:tab w:val="left" w:pos="540"/>
          <w:tab w:val="left" w:pos="864"/>
          <w:tab w:val="left" w:pos="1584"/>
          <w:tab w:val="left" w:pos="2304"/>
        </w:tabs>
        <w:suppressAutoHyphens/>
        <w:rPr>
          <w:lang w:val="en-GB"/>
        </w:rPr>
      </w:pPr>
    </w:p>
    <w:p w14:paraId="097EC93B" w14:textId="77777777" w:rsidR="006B52EB" w:rsidRPr="005D40C5" w:rsidRDefault="006B52EB" w:rsidP="007413ED">
      <w:pPr>
        <w:pStyle w:val="Subtitle"/>
        <w:tabs>
          <w:tab w:val="left" w:pos="540"/>
          <w:tab w:val="left" w:pos="864"/>
          <w:tab w:val="left" w:pos="1584"/>
          <w:tab w:val="left" w:pos="2304"/>
        </w:tabs>
        <w:suppressAutoHyphens/>
        <w:rPr>
          <w:lang w:val="en-GB"/>
        </w:rPr>
      </w:pPr>
    </w:p>
    <w:p w14:paraId="097EC93C" w14:textId="77777777" w:rsidR="007413ED" w:rsidRPr="005D40C5" w:rsidRDefault="007413ED" w:rsidP="00EB3055">
      <w:pPr>
        <w:tabs>
          <w:tab w:val="left" w:pos="540"/>
          <w:tab w:val="left" w:pos="864"/>
          <w:tab w:val="left" w:pos="1584"/>
          <w:tab w:val="left" w:pos="2304"/>
        </w:tabs>
        <w:suppressAutoHyphens/>
        <w:jc w:val="center"/>
        <w:rPr>
          <w:b/>
          <w:bCs/>
          <w:iCs/>
          <w:spacing w:val="-2"/>
          <w:u w:val="single"/>
        </w:rPr>
      </w:pPr>
      <w:r w:rsidRPr="005D40C5">
        <w:rPr>
          <w:b/>
          <w:bCs/>
          <w:iCs/>
          <w:spacing w:val="-2"/>
          <w:u w:val="single"/>
        </w:rPr>
        <w:t xml:space="preserve">I.  Introduction </w:t>
      </w:r>
    </w:p>
    <w:p w14:paraId="097EC93D" w14:textId="77777777" w:rsidR="007413ED" w:rsidRPr="005D40C5" w:rsidRDefault="00C77714" w:rsidP="007413ED">
      <w:pPr>
        <w:tabs>
          <w:tab w:val="left" w:pos="540"/>
          <w:tab w:val="left" w:pos="864"/>
          <w:tab w:val="left" w:pos="1584"/>
          <w:tab w:val="left" w:pos="2304"/>
        </w:tabs>
        <w:suppressAutoHyphens/>
        <w:jc w:val="both"/>
        <w:rPr>
          <w:i/>
          <w:spacing w:val="-2"/>
        </w:rPr>
      </w:pPr>
      <w:r w:rsidRPr="005D40C5">
        <w:rPr>
          <w:i/>
          <w:spacing w:val="-2"/>
        </w:rPr>
        <w:t>This section provides b</w:t>
      </w:r>
      <w:r w:rsidR="007413ED" w:rsidRPr="005D40C5">
        <w:rPr>
          <w:i/>
          <w:spacing w:val="-2"/>
        </w:rPr>
        <w:t>ackground information on the context</w:t>
      </w:r>
      <w:r w:rsidR="001348C2" w:rsidRPr="005D40C5">
        <w:rPr>
          <w:i/>
          <w:spacing w:val="-2"/>
        </w:rPr>
        <w:t>, opportunities</w:t>
      </w:r>
      <w:r w:rsidR="00172DB8" w:rsidRPr="005D40C5">
        <w:rPr>
          <w:i/>
          <w:spacing w:val="-2"/>
        </w:rPr>
        <w:t>,</w:t>
      </w:r>
      <w:r w:rsidR="001348C2" w:rsidRPr="005D40C5">
        <w:rPr>
          <w:i/>
          <w:spacing w:val="-2"/>
        </w:rPr>
        <w:t xml:space="preserve"> and challenges</w:t>
      </w:r>
      <w:r w:rsidR="007413ED" w:rsidRPr="005D40C5">
        <w:rPr>
          <w:i/>
          <w:spacing w:val="-2"/>
        </w:rPr>
        <w:t xml:space="preserve"> within which the establishment of the MDTF takes place, including references to key policy documents (such as government policy papers, Concept Note, One UN Programme, UNDAF</w:t>
      </w:r>
      <w:r w:rsidR="001348C2" w:rsidRPr="005D40C5">
        <w:rPr>
          <w:i/>
          <w:spacing w:val="-2"/>
        </w:rPr>
        <w:t>, global or regional agreements,</w:t>
      </w:r>
      <w:r w:rsidR="007413ED" w:rsidRPr="005D40C5">
        <w:rPr>
          <w:i/>
          <w:spacing w:val="-2"/>
        </w:rPr>
        <w:t xml:space="preserve"> etc).</w:t>
      </w:r>
      <w:r w:rsidR="001348C2" w:rsidRPr="005D40C5">
        <w:rPr>
          <w:i/>
          <w:spacing w:val="-2"/>
        </w:rPr>
        <w:t xml:space="preserve"> </w:t>
      </w:r>
      <w:r w:rsidRPr="005D40C5">
        <w:rPr>
          <w:i/>
          <w:spacing w:val="-2"/>
        </w:rPr>
        <w:t>It also includes a b</w:t>
      </w:r>
      <w:r w:rsidR="001348C2" w:rsidRPr="005D40C5">
        <w:rPr>
          <w:i/>
          <w:spacing w:val="-2"/>
        </w:rPr>
        <w:t>rief description of the rationale for the fund and linkage to any other related or relevant initiatives.</w:t>
      </w:r>
      <w:r w:rsidR="007413ED" w:rsidRPr="005D40C5">
        <w:rPr>
          <w:i/>
          <w:spacing w:val="-2"/>
        </w:rPr>
        <w:t xml:space="preserve"> </w:t>
      </w:r>
    </w:p>
    <w:p w14:paraId="097EC93E" w14:textId="77777777" w:rsidR="007413ED" w:rsidRPr="005D40C5" w:rsidRDefault="007413ED" w:rsidP="007413ED">
      <w:pPr>
        <w:tabs>
          <w:tab w:val="left" w:pos="540"/>
          <w:tab w:val="left" w:pos="864"/>
          <w:tab w:val="left" w:pos="1584"/>
          <w:tab w:val="left" w:pos="2304"/>
        </w:tabs>
        <w:suppressAutoHyphens/>
        <w:jc w:val="center"/>
        <w:rPr>
          <w:b/>
          <w:bCs/>
          <w:iCs/>
          <w:spacing w:val="-2"/>
          <w:u w:val="single"/>
        </w:rPr>
      </w:pPr>
      <w:r w:rsidRPr="005D40C5">
        <w:rPr>
          <w:b/>
          <w:bCs/>
          <w:iCs/>
          <w:spacing w:val="-2"/>
          <w:u w:val="single"/>
        </w:rPr>
        <w:t xml:space="preserve">II. </w:t>
      </w:r>
      <w:r w:rsidR="001348C2" w:rsidRPr="005D40C5">
        <w:rPr>
          <w:b/>
          <w:bCs/>
          <w:iCs/>
          <w:spacing w:val="-2"/>
          <w:u w:val="single"/>
        </w:rPr>
        <w:t>Functions</w:t>
      </w:r>
      <w:r w:rsidRPr="005D40C5">
        <w:rPr>
          <w:b/>
          <w:bCs/>
          <w:iCs/>
          <w:spacing w:val="-2"/>
          <w:u w:val="single"/>
        </w:rPr>
        <w:t xml:space="preserve"> of the [Name of MDTF]</w:t>
      </w:r>
      <w:r w:rsidR="00680F54" w:rsidRPr="005D40C5">
        <w:rPr>
          <w:rStyle w:val="FootnoteReference"/>
          <w:b/>
          <w:bCs/>
          <w:iCs/>
          <w:spacing w:val="-2"/>
          <w:u w:val="single"/>
        </w:rPr>
        <w:footnoteReference w:id="2"/>
      </w:r>
      <w:r w:rsidR="00D80879" w:rsidRPr="005D40C5">
        <w:rPr>
          <w:noProof/>
        </w:rPr>
        <w:t xml:space="preserve"> </w:t>
      </w:r>
    </w:p>
    <w:p w14:paraId="097EC93F" w14:textId="77777777" w:rsidR="001348C2" w:rsidRPr="005D40C5" w:rsidRDefault="001348C2" w:rsidP="001348C2">
      <w:pPr>
        <w:rPr>
          <w:i/>
          <w:lang w:val="en"/>
        </w:rPr>
      </w:pPr>
      <w:r w:rsidRPr="005D40C5">
        <w:rPr>
          <w:i/>
          <w:lang w:val="en"/>
        </w:rPr>
        <w:t>This section detail</w:t>
      </w:r>
      <w:r w:rsidR="00172DB8" w:rsidRPr="005D40C5">
        <w:rPr>
          <w:i/>
          <w:lang w:val="en"/>
        </w:rPr>
        <w:t>s</w:t>
      </w:r>
      <w:r w:rsidRPr="005D40C5">
        <w:rPr>
          <w:i/>
          <w:lang w:val="en"/>
        </w:rPr>
        <w:t xml:space="preserve"> the fund function(s). The functions can evolve over time and can be combined and sequenced. Some fund functions listed below </w:t>
      </w:r>
      <w:r w:rsidR="00172DB8" w:rsidRPr="005D40C5">
        <w:rPr>
          <w:i/>
          <w:lang w:val="en"/>
        </w:rPr>
        <w:t>highlight</w:t>
      </w:r>
      <w:r w:rsidRPr="005D40C5">
        <w:rPr>
          <w:i/>
          <w:lang w:val="en"/>
        </w:rPr>
        <w:t xml:space="preserve"> the added value pooled fund</w:t>
      </w:r>
      <w:r w:rsidR="00172DB8" w:rsidRPr="005D40C5">
        <w:rPr>
          <w:i/>
          <w:lang w:val="en"/>
        </w:rPr>
        <w:t>s typically</w:t>
      </w:r>
      <w:r w:rsidRPr="005D40C5">
        <w:rPr>
          <w:i/>
          <w:lang w:val="en"/>
        </w:rPr>
        <w:t xml:space="preserve"> provide:</w:t>
      </w:r>
    </w:p>
    <w:p w14:paraId="097EC940" w14:textId="77777777" w:rsidR="001348C2" w:rsidRPr="005D40C5" w:rsidRDefault="001348C2" w:rsidP="001348C2">
      <w:pPr>
        <w:rPr>
          <w:lang w:val="en"/>
        </w:rPr>
      </w:pPr>
      <w:r w:rsidRPr="005D40C5">
        <w:rPr>
          <w:b/>
          <w:lang w:val="en"/>
        </w:rPr>
        <w:t>Coherence</w:t>
      </w:r>
      <w:r w:rsidRPr="005D40C5">
        <w:rPr>
          <w:lang w:val="en"/>
        </w:rPr>
        <w:t xml:space="preserve">: </w:t>
      </w:r>
      <w:r w:rsidRPr="005D40C5">
        <w:rPr>
          <w:i/>
          <w:lang w:val="en"/>
        </w:rPr>
        <w:t xml:space="preserve">Most pooled funds will support policy coherence. In addition, some funds will emphasize programme coherence by filling critical gaps and supporting underfinanced priorities. </w:t>
      </w:r>
    </w:p>
    <w:p w14:paraId="097EC941" w14:textId="77777777" w:rsidR="001348C2" w:rsidRPr="005D40C5" w:rsidRDefault="001348C2" w:rsidP="001348C2">
      <w:pPr>
        <w:rPr>
          <w:lang w:val="en"/>
        </w:rPr>
      </w:pPr>
      <w:r w:rsidRPr="005D40C5">
        <w:rPr>
          <w:b/>
          <w:lang w:val="en"/>
        </w:rPr>
        <w:t>Consolidation</w:t>
      </w:r>
      <w:r w:rsidRPr="005D40C5">
        <w:rPr>
          <w:lang w:val="en"/>
        </w:rPr>
        <w:t xml:space="preserve">: </w:t>
      </w:r>
      <w:r w:rsidRPr="005D40C5">
        <w:rPr>
          <w:i/>
          <w:lang w:val="en"/>
        </w:rPr>
        <w:t xml:space="preserve">Reduces fragmentation with respect to particular priorities. In many cases, it is the largest investment vehicle. </w:t>
      </w:r>
    </w:p>
    <w:p w14:paraId="097EC942" w14:textId="77777777" w:rsidR="001348C2" w:rsidRPr="005D40C5" w:rsidRDefault="001348C2" w:rsidP="001348C2">
      <w:pPr>
        <w:rPr>
          <w:lang w:val="en"/>
        </w:rPr>
      </w:pPr>
      <w:r w:rsidRPr="005D40C5">
        <w:rPr>
          <w:b/>
          <w:lang w:val="en"/>
        </w:rPr>
        <w:t>Specialized or thematic</w:t>
      </w:r>
      <w:r w:rsidRPr="005D40C5">
        <w:rPr>
          <w:lang w:val="en"/>
        </w:rPr>
        <w:t xml:space="preserve">: </w:t>
      </w:r>
      <w:r w:rsidRPr="005D40C5">
        <w:rPr>
          <w:i/>
          <w:lang w:val="en"/>
        </w:rPr>
        <w:t xml:space="preserve">Has a specific expertise and focus on a particular thematic issue. Usually the case for global funds. </w:t>
      </w:r>
    </w:p>
    <w:p w14:paraId="097EC943" w14:textId="77777777" w:rsidR="001348C2" w:rsidRPr="005D40C5" w:rsidRDefault="001348C2" w:rsidP="001348C2">
      <w:pPr>
        <w:rPr>
          <w:lang w:val="en"/>
        </w:rPr>
      </w:pPr>
      <w:r w:rsidRPr="005D40C5">
        <w:rPr>
          <w:b/>
          <w:lang w:val="en"/>
        </w:rPr>
        <w:t>Risk management</w:t>
      </w:r>
      <w:r w:rsidRPr="005D40C5">
        <w:rPr>
          <w:lang w:val="en"/>
        </w:rPr>
        <w:t xml:space="preserve">: </w:t>
      </w:r>
      <w:r w:rsidRPr="005D40C5">
        <w:rPr>
          <w:i/>
          <w:lang w:val="en"/>
        </w:rPr>
        <w:t>Reduces risks to governments and financial contributors through a comprehensive risk and results-based management system.</w:t>
      </w:r>
    </w:p>
    <w:p w14:paraId="097EC944" w14:textId="77777777" w:rsidR="001348C2" w:rsidRPr="005D40C5" w:rsidRDefault="001348C2" w:rsidP="001348C2">
      <w:pPr>
        <w:rPr>
          <w:lang w:val="en"/>
        </w:rPr>
      </w:pPr>
      <w:r w:rsidRPr="005D40C5">
        <w:rPr>
          <w:b/>
          <w:lang w:val="en"/>
        </w:rPr>
        <w:t>Strengthening national systems</w:t>
      </w:r>
      <w:r w:rsidRPr="005D40C5">
        <w:rPr>
          <w:lang w:val="en"/>
        </w:rPr>
        <w:t xml:space="preserve">: </w:t>
      </w:r>
      <w:r w:rsidRPr="005D40C5">
        <w:rPr>
          <w:i/>
          <w:lang w:val="en"/>
        </w:rPr>
        <w:t>Uses a</w:t>
      </w:r>
      <w:r w:rsidR="00172DB8" w:rsidRPr="005D40C5">
        <w:rPr>
          <w:i/>
          <w:lang w:val="en"/>
        </w:rPr>
        <w:t>nd strengthens national systems</w:t>
      </w:r>
      <w:r w:rsidRPr="005D40C5">
        <w:rPr>
          <w:i/>
          <w:lang w:val="en"/>
        </w:rPr>
        <w:t>.</w:t>
      </w:r>
      <w:r w:rsidRPr="005D40C5">
        <w:rPr>
          <w:lang w:val="en"/>
        </w:rPr>
        <w:t xml:space="preserve">  </w:t>
      </w:r>
    </w:p>
    <w:p w14:paraId="097EC945" w14:textId="77777777" w:rsidR="00F12BB9" w:rsidRPr="005D40C5" w:rsidRDefault="001348C2" w:rsidP="001348C2">
      <w:pPr>
        <w:rPr>
          <w:lang w:val="en"/>
        </w:rPr>
      </w:pPr>
      <w:r w:rsidRPr="005D40C5">
        <w:rPr>
          <w:b/>
          <w:lang w:val="en"/>
        </w:rPr>
        <w:t>Innovation</w:t>
      </w:r>
      <w:r w:rsidRPr="005D40C5">
        <w:rPr>
          <w:lang w:val="en"/>
        </w:rPr>
        <w:t xml:space="preserve">: </w:t>
      </w:r>
      <w:r w:rsidRPr="005D40C5">
        <w:rPr>
          <w:i/>
          <w:lang w:val="en"/>
        </w:rPr>
        <w:t xml:space="preserve">Provides a mechanism for clear attribution and transparency from innovative sources of finance. </w:t>
      </w:r>
    </w:p>
    <w:p w14:paraId="097EC946" w14:textId="77777777" w:rsidR="00C4455A" w:rsidRPr="005D40C5" w:rsidRDefault="007413ED" w:rsidP="00EB3055">
      <w:pPr>
        <w:tabs>
          <w:tab w:val="left" w:pos="540"/>
          <w:tab w:val="left" w:pos="864"/>
          <w:tab w:val="left" w:pos="1584"/>
          <w:tab w:val="left" w:pos="2304"/>
        </w:tabs>
        <w:suppressAutoHyphens/>
        <w:jc w:val="center"/>
        <w:rPr>
          <w:b/>
          <w:bCs/>
          <w:iCs/>
          <w:spacing w:val="-2"/>
          <w:u w:val="single"/>
        </w:rPr>
      </w:pPr>
      <w:r w:rsidRPr="005D40C5">
        <w:rPr>
          <w:b/>
          <w:bCs/>
          <w:iCs/>
          <w:spacing w:val="-2"/>
          <w:u w:val="single"/>
        </w:rPr>
        <w:t xml:space="preserve">III. </w:t>
      </w:r>
      <w:r w:rsidR="00C4455A" w:rsidRPr="005D40C5">
        <w:rPr>
          <w:b/>
          <w:bCs/>
          <w:iCs/>
          <w:spacing w:val="-2"/>
          <w:u w:val="single"/>
        </w:rPr>
        <w:t>Programmatic Scope and Theory of Change</w:t>
      </w:r>
      <w:r w:rsidR="00344F5B" w:rsidRPr="005D40C5">
        <w:rPr>
          <w:rStyle w:val="FootnoteReference"/>
          <w:b/>
          <w:bCs/>
          <w:iCs/>
          <w:spacing w:val="-2"/>
          <w:u w:val="single"/>
        </w:rPr>
        <w:footnoteReference w:id="3"/>
      </w:r>
      <w:r w:rsidR="00C4455A" w:rsidRPr="005D40C5">
        <w:rPr>
          <w:b/>
          <w:bCs/>
          <w:iCs/>
          <w:spacing w:val="-2"/>
          <w:u w:val="single"/>
        </w:rPr>
        <w:t xml:space="preserve"> </w:t>
      </w:r>
    </w:p>
    <w:p w14:paraId="097EC947" w14:textId="77777777" w:rsidR="00344F5B" w:rsidRPr="005D40C5" w:rsidRDefault="00344F5B" w:rsidP="008D4C90">
      <w:pPr>
        <w:rPr>
          <w:i/>
          <w:lang w:val="en"/>
        </w:rPr>
      </w:pPr>
      <w:r w:rsidRPr="005D40C5">
        <w:rPr>
          <w:i/>
          <w:lang w:val="en"/>
        </w:rPr>
        <w:t>This section explains the objectives</w:t>
      </w:r>
      <w:r w:rsidR="008D7C9E" w:rsidRPr="005D40C5">
        <w:rPr>
          <w:i/>
          <w:lang w:val="en"/>
        </w:rPr>
        <w:t xml:space="preserve"> and the</w:t>
      </w:r>
      <w:r w:rsidR="00611FD4" w:rsidRPr="005D40C5">
        <w:rPr>
          <w:i/>
          <w:lang w:val="en"/>
        </w:rPr>
        <w:t xml:space="preserve"> scope</w:t>
      </w:r>
      <w:r w:rsidRPr="005D40C5">
        <w:rPr>
          <w:i/>
          <w:lang w:val="en"/>
        </w:rPr>
        <w:t xml:space="preserve"> of the fund</w:t>
      </w:r>
      <w:r w:rsidR="008D7C9E" w:rsidRPr="005D40C5">
        <w:rPr>
          <w:i/>
          <w:lang w:val="en"/>
        </w:rPr>
        <w:t>,</w:t>
      </w:r>
      <w:r w:rsidRPr="005D40C5">
        <w:rPr>
          <w:i/>
          <w:lang w:val="en"/>
        </w:rPr>
        <w:t xml:space="preserve"> which are usually based on/anchored in an existing strategic framework (national, regional or global).</w:t>
      </w:r>
      <w:r w:rsidR="008D4C90" w:rsidRPr="005D40C5">
        <w:rPr>
          <w:i/>
          <w:lang w:val="en"/>
        </w:rPr>
        <w:t xml:space="preserve"> </w:t>
      </w:r>
      <w:r w:rsidRPr="005D40C5">
        <w:rPr>
          <w:i/>
          <w:lang w:val="en"/>
        </w:rPr>
        <w:t>It includes the fund strategy and the underlying theory of change</w:t>
      </w:r>
      <w:r w:rsidR="005C634F" w:rsidRPr="005D40C5">
        <w:rPr>
          <w:i/>
          <w:lang w:val="en"/>
        </w:rPr>
        <w:t xml:space="preserve"> </w:t>
      </w:r>
      <w:r w:rsidR="005C634F" w:rsidRPr="005D40C5">
        <w:rPr>
          <w:i/>
        </w:rPr>
        <w:t>(ToC)</w:t>
      </w:r>
      <w:r w:rsidRPr="005D40C5">
        <w:rPr>
          <w:i/>
          <w:lang w:val="en"/>
        </w:rPr>
        <w:t xml:space="preserve">. The fund strategy should articulate the approach for achieving the objectives. </w:t>
      </w:r>
    </w:p>
    <w:p w14:paraId="097EC948" w14:textId="77777777" w:rsidR="00344F5B" w:rsidRPr="005D40C5" w:rsidRDefault="00344F5B" w:rsidP="00CA7796">
      <w:pPr>
        <w:jc w:val="both"/>
        <w:rPr>
          <w:i/>
          <w:lang w:val="en"/>
        </w:rPr>
      </w:pPr>
      <w:r w:rsidRPr="005D40C5">
        <w:rPr>
          <w:i/>
          <w:lang w:val="en"/>
        </w:rPr>
        <w:lastRenderedPageBreak/>
        <w:t xml:space="preserve">The </w:t>
      </w:r>
      <w:r w:rsidR="005C634F" w:rsidRPr="005D40C5">
        <w:rPr>
          <w:i/>
          <w:lang w:val="en"/>
        </w:rPr>
        <w:t>TOC</w:t>
      </w:r>
      <w:r w:rsidRPr="005D40C5">
        <w:rPr>
          <w:i/>
          <w:lang w:val="en"/>
        </w:rPr>
        <w:t xml:space="preserve"> describes the fund’s assumptions about the change that is needed and the strategies required tobring about the desired change. </w:t>
      </w:r>
      <w:r w:rsidRPr="005D40C5">
        <w:rPr>
          <w:i/>
        </w:rPr>
        <w:t xml:space="preserve">It provides </w:t>
      </w:r>
      <w:r w:rsidR="00625CCF" w:rsidRPr="005D40C5">
        <w:rPr>
          <w:i/>
        </w:rPr>
        <w:t xml:space="preserve">a </w:t>
      </w:r>
      <w:r w:rsidRPr="005D40C5">
        <w:rPr>
          <w:i/>
        </w:rPr>
        <w:t xml:space="preserve">critical change path for validating the causal relationships between the goals, impacts, outcomes and outputs. </w:t>
      </w:r>
    </w:p>
    <w:p w14:paraId="097EC949" w14:textId="77777777" w:rsidR="00344F5B" w:rsidRPr="005D40C5" w:rsidRDefault="00FA746E" w:rsidP="00344F5B">
      <w:pPr>
        <w:rPr>
          <w:i/>
          <w:lang w:val="en"/>
        </w:rPr>
      </w:pPr>
      <w:r w:rsidRPr="005D40C5">
        <w:rPr>
          <w:i/>
          <w:lang w:val="en"/>
        </w:rPr>
        <w:t>T</w:t>
      </w:r>
      <w:r w:rsidR="00344F5B" w:rsidRPr="005D40C5">
        <w:rPr>
          <w:i/>
          <w:lang w:val="en"/>
        </w:rPr>
        <w:t>he strategy will be translated into a set of concrete expected fund results:</w:t>
      </w:r>
    </w:p>
    <w:p w14:paraId="097EC94A" w14:textId="77777777" w:rsidR="00935E97" w:rsidRPr="005D40C5" w:rsidRDefault="00344F5B" w:rsidP="00935E97">
      <w:pPr>
        <w:pStyle w:val="ColorfulList-Accent11"/>
        <w:numPr>
          <w:ilvl w:val="0"/>
          <w:numId w:val="28"/>
        </w:numPr>
        <w:jc w:val="both"/>
        <w:rPr>
          <w:b/>
          <w:i/>
        </w:rPr>
      </w:pPr>
      <w:r w:rsidRPr="005D40C5">
        <w:rPr>
          <w:b/>
          <w:i/>
        </w:rPr>
        <w:t>Fund impacts</w:t>
      </w:r>
      <w:r w:rsidR="00935E97" w:rsidRPr="005D40C5">
        <w:rPr>
          <w:b/>
          <w:i/>
        </w:rPr>
        <w:t xml:space="preserve"> or goals</w:t>
      </w:r>
      <w:r w:rsidRPr="005D40C5">
        <w:rPr>
          <w:b/>
          <w:i/>
        </w:rPr>
        <w:t xml:space="preserve">: </w:t>
      </w:r>
      <w:r w:rsidRPr="005D40C5">
        <w:rPr>
          <w:i/>
        </w:rPr>
        <w:t xml:space="preserve">the long-term </w:t>
      </w:r>
      <w:r w:rsidR="00935E97" w:rsidRPr="005D40C5">
        <w:rPr>
          <w:i/>
        </w:rPr>
        <w:t>changes in people’s lives</w:t>
      </w:r>
      <w:r w:rsidRPr="005D40C5">
        <w:rPr>
          <w:i/>
        </w:rPr>
        <w:t xml:space="preserve"> produced by an intervention, directly or indirectly and intended or unintended.</w:t>
      </w:r>
      <w:r w:rsidR="00935E97" w:rsidRPr="005D40C5">
        <w:rPr>
          <w:i/>
        </w:rPr>
        <w:t xml:space="preserve"> This might include changes in behavior, health or living conditions. </w:t>
      </w:r>
    </w:p>
    <w:p w14:paraId="097EC94B" w14:textId="77777777" w:rsidR="00344F5B" w:rsidRPr="005D40C5" w:rsidRDefault="00344F5B" w:rsidP="00344F5B">
      <w:pPr>
        <w:pStyle w:val="ColorfulList-Accent11"/>
        <w:numPr>
          <w:ilvl w:val="0"/>
          <w:numId w:val="28"/>
        </w:numPr>
        <w:jc w:val="both"/>
        <w:rPr>
          <w:b/>
          <w:i/>
        </w:rPr>
      </w:pPr>
      <w:r w:rsidRPr="005D40C5">
        <w:rPr>
          <w:b/>
          <w:i/>
        </w:rPr>
        <w:t>Fund outcomes:</w:t>
      </w:r>
      <w:r w:rsidRPr="005D40C5">
        <w:rPr>
          <w:i/>
        </w:rPr>
        <w:t xml:space="preserve"> usually changes in institutional or behavior</w:t>
      </w:r>
      <w:r w:rsidR="00935E97" w:rsidRPr="005D40C5">
        <w:rPr>
          <w:i/>
        </w:rPr>
        <w:t>al capacities that occur following the completion of outputs</w:t>
      </w:r>
      <w:r w:rsidRPr="005D40C5">
        <w:rPr>
          <w:i/>
        </w:rPr>
        <w:t>.</w:t>
      </w:r>
    </w:p>
    <w:p w14:paraId="097EC94C" w14:textId="77777777" w:rsidR="00344F5B" w:rsidRPr="005D40C5" w:rsidRDefault="00344F5B" w:rsidP="00344F5B">
      <w:pPr>
        <w:pStyle w:val="ColorfulList-Accent11"/>
        <w:numPr>
          <w:ilvl w:val="0"/>
          <w:numId w:val="28"/>
        </w:numPr>
        <w:jc w:val="both"/>
        <w:rPr>
          <w:b/>
          <w:i/>
        </w:rPr>
      </w:pPr>
      <w:r w:rsidRPr="005D40C5">
        <w:rPr>
          <w:b/>
          <w:i/>
        </w:rPr>
        <w:t>Indicative Fund outputs:</w:t>
      </w:r>
      <w:r w:rsidRPr="005D40C5">
        <w:rPr>
          <w:i/>
        </w:rPr>
        <w:t xml:space="preserve"> usually the availability of new products and services that are achieved with the resources provided within the time period specified. Outputs are defined at project level so these fund outputs will be just indicative.</w:t>
      </w:r>
    </w:p>
    <w:p w14:paraId="097EC94D" w14:textId="77777777" w:rsidR="00344F5B" w:rsidRPr="005D40C5" w:rsidRDefault="00257B94" w:rsidP="00CA7796">
      <w:pPr>
        <w:jc w:val="both"/>
        <w:rPr>
          <w:i/>
          <w:lang w:val="en"/>
        </w:rPr>
      </w:pPr>
      <w:r w:rsidRPr="005D40C5">
        <w:rPr>
          <w:i/>
          <w:lang w:val="en"/>
        </w:rPr>
        <w:t>A fund</w:t>
      </w:r>
      <w:r w:rsidR="00344F5B" w:rsidRPr="005D40C5">
        <w:rPr>
          <w:i/>
          <w:lang w:val="en"/>
        </w:rPr>
        <w:t xml:space="preserve"> results matrix with indicators, including baseline, targets</w:t>
      </w:r>
      <w:r w:rsidR="00CB2D17" w:rsidRPr="005D40C5">
        <w:rPr>
          <w:i/>
          <w:lang w:val="en"/>
        </w:rPr>
        <w:t>, means of verification</w:t>
      </w:r>
      <w:r w:rsidR="00344F5B" w:rsidRPr="005D40C5">
        <w:rPr>
          <w:i/>
          <w:lang w:val="en"/>
        </w:rPr>
        <w:t xml:space="preserve"> and data collection methods should be developed and attached as an annex.</w:t>
      </w:r>
    </w:p>
    <w:p w14:paraId="097EC94E" w14:textId="77777777" w:rsidR="007413ED" w:rsidRPr="005D40C5" w:rsidRDefault="007413ED" w:rsidP="007413ED">
      <w:pPr>
        <w:tabs>
          <w:tab w:val="left" w:pos="540"/>
          <w:tab w:val="left" w:pos="864"/>
          <w:tab w:val="left" w:pos="1584"/>
          <w:tab w:val="left" w:pos="2304"/>
        </w:tabs>
        <w:suppressAutoHyphens/>
        <w:jc w:val="center"/>
        <w:rPr>
          <w:b/>
          <w:bCs/>
          <w:iCs/>
          <w:spacing w:val="-2"/>
          <w:u w:val="single"/>
        </w:rPr>
      </w:pPr>
      <w:bookmarkStart w:id="1" w:name="OLE_LINK3"/>
      <w:r w:rsidRPr="005D40C5">
        <w:rPr>
          <w:b/>
          <w:bCs/>
          <w:iCs/>
          <w:spacing w:val="-2"/>
          <w:u w:val="single"/>
        </w:rPr>
        <w:t>IV. Governance Arrangements</w:t>
      </w:r>
    </w:p>
    <w:p w14:paraId="097EC94F" w14:textId="77777777" w:rsidR="007413ED" w:rsidRPr="005D40C5" w:rsidRDefault="00F11EF5" w:rsidP="007413ED">
      <w:pPr>
        <w:tabs>
          <w:tab w:val="left" w:pos="540"/>
        </w:tabs>
        <w:autoSpaceDE w:val="0"/>
        <w:autoSpaceDN w:val="0"/>
        <w:adjustRightInd w:val="0"/>
        <w:jc w:val="both"/>
        <w:rPr>
          <w:i/>
        </w:rPr>
      </w:pPr>
      <w:r w:rsidRPr="005D40C5">
        <w:rPr>
          <w:noProof/>
          <w:lang w:val="en-IN" w:eastAsia="en-IN"/>
        </w:rPr>
        <w:drawing>
          <wp:anchor distT="0" distB="0" distL="114300" distR="114300" simplePos="0" relativeHeight="251661824" behindDoc="0" locked="0" layoutInCell="1" allowOverlap="1" wp14:anchorId="097EC9E9" wp14:editId="097EC9EA">
            <wp:simplePos x="0" y="0"/>
            <wp:positionH relativeFrom="column">
              <wp:posOffset>3333750</wp:posOffset>
            </wp:positionH>
            <wp:positionV relativeFrom="paragraph">
              <wp:posOffset>90805</wp:posOffset>
            </wp:positionV>
            <wp:extent cx="2623820" cy="3630295"/>
            <wp:effectExtent l="0" t="0" r="508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ernance.pdf"/>
                    <pic:cNvPicPr/>
                  </pic:nvPicPr>
                  <pic:blipFill rotWithShape="1">
                    <a:blip r:embed="rId8">
                      <a:extLst>
                        <a:ext uri="{28A0092B-C50C-407E-A947-70E740481C1C}">
                          <a14:useLocalDpi xmlns:a14="http://schemas.microsoft.com/office/drawing/2010/main" val="0"/>
                        </a:ext>
                      </a:extLst>
                    </a:blip>
                    <a:srcRect l="62864" t="38983" r="13754" b="36033"/>
                    <a:stretch/>
                  </pic:blipFill>
                  <pic:spPr bwMode="auto">
                    <a:xfrm>
                      <a:off x="0" y="0"/>
                      <a:ext cx="2623820" cy="3630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40C5">
        <w:rPr>
          <w:i/>
        </w:rPr>
        <w:t>This section describes</w:t>
      </w:r>
      <w:r w:rsidR="007413ED" w:rsidRPr="005D40C5">
        <w:rPr>
          <w:i/>
        </w:rPr>
        <w:t xml:space="preserve"> the governance arrangements of the MDTF, with </w:t>
      </w:r>
      <w:r w:rsidRPr="005D40C5">
        <w:rPr>
          <w:i/>
        </w:rPr>
        <w:t>sub-</w:t>
      </w:r>
      <w:r w:rsidR="007413ED" w:rsidRPr="005D40C5">
        <w:rPr>
          <w:i/>
        </w:rPr>
        <w:t xml:space="preserve">sections on the </w:t>
      </w:r>
      <w:r w:rsidRPr="005D40C5">
        <w:rPr>
          <w:i/>
        </w:rPr>
        <w:t>governance bodies for each of the fund management functions (</w:t>
      </w:r>
      <w:r w:rsidR="003424F2" w:rsidRPr="005D40C5">
        <w:rPr>
          <w:i/>
        </w:rPr>
        <w:t xml:space="preserve">fund </w:t>
      </w:r>
      <w:r w:rsidRPr="005D40C5">
        <w:rPr>
          <w:i/>
        </w:rPr>
        <w:t xml:space="preserve">operation, </w:t>
      </w:r>
      <w:r w:rsidR="003424F2" w:rsidRPr="005D40C5">
        <w:rPr>
          <w:i/>
        </w:rPr>
        <w:t xml:space="preserve">fund </w:t>
      </w:r>
      <w:r w:rsidRPr="005D40C5">
        <w:rPr>
          <w:i/>
        </w:rPr>
        <w:t xml:space="preserve">administration and </w:t>
      </w:r>
      <w:r w:rsidR="003424F2" w:rsidRPr="005D40C5">
        <w:rPr>
          <w:i/>
        </w:rPr>
        <w:t xml:space="preserve">fund </w:t>
      </w:r>
      <w:r w:rsidRPr="005D40C5">
        <w:rPr>
          <w:i/>
        </w:rPr>
        <w:t>implementation)</w:t>
      </w:r>
      <w:r w:rsidR="003424F2" w:rsidRPr="005D40C5">
        <w:rPr>
          <w:i/>
        </w:rPr>
        <w:t>.</w:t>
      </w:r>
      <w:r w:rsidRPr="005D40C5">
        <w:rPr>
          <w:i/>
        </w:rPr>
        <w:t xml:space="preserve"> </w:t>
      </w:r>
      <w:r w:rsidR="00C77714" w:rsidRPr="005D40C5">
        <w:rPr>
          <w:i/>
        </w:rPr>
        <w:t>It</w:t>
      </w:r>
      <w:r w:rsidR="007413ED" w:rsidRPr="005D40C5">
        <w:rPr>
          <w:i/>
        </w:rPr>
        <w:t xml:space="preserve"> may also include a diagram illustrating the governance arrangements</w:t>
      </w:r>
      <w:r w:rsidR="00257B94" w:rsidRPr="005D40C5">
        <w:rPr>
          <w:i/>
        </w:rPr>
        <w:t xml:space="preserve"> (s</w:t>
      </w:r>
      <w:r w:rsidR="007413ED" w:rsidRPr="005D40C5">
        <w:rPr>
          <w:i/>
        </w:rPr>
        <w:t>ee example</w:t>
      </w:r>
      <w:r w:rsidR="00257B94" w:rsidRPr="005D40C5">
        <w:rPr>
          <w:i/>
        </w:rPr>
        <w:t>)</w:t>
      </w:r>
      <w:r w:rsidR="00C77714" w:rsidRPr="005D40C5">
        <w:rPr>
          <w:i/>
        </w:rPr>
        <w:t>.</w:t>
      </w:r>
      <w:r w:rsidR="00353C12" w:rsidRPr="005D40C5">
        <w:rPr>
          <w:i/>
        </w:rPr>
        <w:t xml:space="preserve"> T</w:t>
      </w:r>
      <w:r w:rsidR="00C77714" w:rsidRPr="005D40C5">
        <w:rPr>
          <w:i/>
        </w:rPr>
        <w:t xml:space="preserve">he </w:t>
      </w:r>
      <w:r w:rsidR="00353C12" w:rsidRPr="005D40C5">
        <w:rPr>
          <w:i/>
        </w:rPr>
        <w:t xml:space="preserve">governance architecture is usually comprised of the following </w:t>
      </w:r>
      <w:r w:rsidR="00C77714" w:rsidRPr="005D40C5">
        <w:rPr>
          <w:i/>
        </w:rPr>
        <w:t>bodies</w:t>
      </w:r>
      <w:r w:rsidR="00353C12" w:rsidRPr="005D40C5">
        <w:rPr>
          <w:i/>
        </w:rPr>
        <w:t xml:space="preserve">: </w:t>
      </w:r>
      <w:r w:rsidR="00C77714" w:rsidRPr="005D40C5">
        <w:rPr>
          <w:i/>
        </w:rPr>
        <w:t xml:space="preserve"> </w:t>
      </w:r>
      <w:r w:rsidR="007413ED" w:rsidRPr="005D40C5">
        <w:rPr>
          <w:i/>
        </w:rPr>
        <w:t xml:space="preserve">  </w:t>
      </w:r>
    </w:p>
    <w:p w14:paraId="097EC950" w14:textId="77777777" w:rsidR="007413ED" w:rsidRPr="005D40C5" w:rsidRDefault="007413ED" w:rsidP="007413ED">
      <w:pPr>
        <w:tabs>
          <w:tab w:val="left" w:pos="540"/>
        </w:tabs>
        <w:autoSpaceDE w:val="0"/>
        <w:autoSpaceDN w:val="0"/>
        <w:adjustRightInd w:val="0"/>
        <w:jc w:val="both"/>
        <w:rPr>
          <w:b/>
          <w:i/>
        </w:rPr>
      </w:pPr>
      <w:r w:rsidRPr="005D40C5">
        <w:rPr>
          <w:b/>
          <w:i/>
        </w:rPr>
        <w:t>MDTF Steering Committee</w:t>
      </w:r>
      <w:r w:rsidR="0040006A" w:rsidRPr="005D40C5">
        <w:rPr>
          <w:b/>
          <w:i/>
        </w:rPr>
        <w:t xml:space="preserve"> or similar governance mechanism</w:t>
      </w:r>
    </w:p>
    <w:p w14:paraId="097EC951" w14:textId="77777777" w:rsidR="0040006A" w:rsidRPr="005D40C5" w:rsidRDefault="007413ED" w:rsidP="007413ED">
      <w:pPr>
        <w:tabs>
          <w:tab w:val="left" w:pos="540"/>
        </w:tabs>
        <w:autoSpaceDE w:val="0"/>
        <w:autoSpaceDN w:val="0"/>
        <w:adjustRightInd w:val="0"/>
        <w:jc w:val="both"/>
        <w:rPr>
          <w:i/>
        </w:rPr>
      </w:pPr>
      <w:r w:rsidRPr="005D40C5">
        <w:rPr>
          <w:i/>
        </w:rPr>
        <w:t>Description of the MDTF Steering Committee, building on the UNDG Generic Terms of Reference</w:t>
      </w:r>
      <w:r w:rsidR="00514856" w:rsidRPr="005D40C5">
        <w:rPr>
          <w:i/>
        </w:rPr>
        <w:t xml:space="preserve"> for Steering Committees</w:t>
      </w:r>
      <w:r w:rsidRPr="005D40C5">
        <w:rPr>
          <w:i/>
        </w:rPr>
        <w:t>, including its responsibilities and composition</w:t>
      </w:r>
      <w:r w:rsidR="004A624C" w:rsidRPr="005D40C5">
        <w:rPr>
          <w:i/>
        </w:rPr>
        <w:t>; i</w:t>
      </w:r>
      <w:r w:rsidR="0040006A" w:rsidRPr="005D40C5">
        <w:rPr>
          <w:i/>
        </w:rPr>
        <w:t>deally membership in the Steering Committee will not exceed 9 members, and composition will vary depending on the scope and purpose of the fund. The Administrative Agent is always an ex officio member of the Steering Committee. In case of large funds, a tiered governance structure might be considered that splits the main functions between two bodies</w:t>
      </w:r>
      <w:r w:rsidR="005D5D44" w:rsidRPr="005D40C5">
        <w:rPr>
          <w:i/>
        </w:rPr>
        <w:t xml:space="preserve">. Or alternatively membership can be on a rotational basis within each </w:t>
      </w:r>
      <w:r w:rsidR="005C634F" w:rsidRPr="005D40C5">
        <w:rPr>
          <w:i/>
        </w:rPr>
        <w:t>major stakeholder group</w:t>
      </w:r>
      <w:r w:rsidR="005D5D44" w:rsidRPr="005D40C5">
        <w:rPr>
          <w:i/>
        </w:rPr>
        <w:t xml:space="preserve"> (e.g. contributors, PUNOs, civil society, ministries, etc.)</w:t>
      </w:r>
      <w:r w:rsidR="00F12BB9" w:rsidRPr="005D40C5">
        <w:rPr>
          <w:i/>
        </w:rPr>
        <w:t xml:space="preserve">. Rules of procedure should be developed, particularly with regards to </w:t>
      </w:r>
      <w:r w:rsidR="00CF64A0" w:rsidRPr="005D40C5">
        <w:rPr>
          <w:i/>
        </w:rPr>
        <w:t xml:space="preserve">participation and </w:t>
      </w:r>
      <w:r w:rsidR="00F12BB9" w:rsidRPr="005D40C5">
        <w:rPr>
          <w:i/>
        </w:rPr>
        <w:t xml:space="preserve">decision-making (e.g. </w:t>
      </w:r>
      <w:r w:rsidR="00CF64A0" w:rsidRPr="005D40C5">
        <w:rPr>
          <w:i/>
        </w:rPr>
        <w:t xml:space="preserve">quorum, chairing arrangements, </w:t>
      </w:r>
      <w:r w:rsidR="00F12BB9" w:rsidRPr="005D40C5">
        <w:rPr>
          <w:i/>
        </w:rPr>
        <w:t>consensus</w:t>
      </w:r>
      <w:r w:rsidR="00CF64A0" w:rsidRPr="005D40C5">
        <w:rPr>
          <w:i/>
        </w:rPr>
        <w:t xml:space="preserve"> decisions</w:t>
      </w:r>
      <w:r w:rsidR="00F12BB9" w:rsidRPr="005D40C5">
        <w:rPr>
          <w:i/>
        </w:rPr>
        <w:t>).</w:t>
      </w:r>
    </w:p>
    <w:p w14:paraId="097EC952" w14:textId="77777777" w:rsidR="0040006A" w:rsidRPr="005D40C5" w:rsidRDefault="0040006A" w:rsidP="0040006A">
      <w:pPr>
        <w:rPr>
          <w:i/>
          <w:lang w:val="en"/>
        </w:rPr>
      </w:pPr>
      <w:r w:rsidRPr="005D40C5">
        <w:rPr>
          <w:i/>
          <w:lang w:val="en"/>
        </w:rPr>
        <w:lastRenderedPageBreak/>
        <w:t>Detailed main functions:</w:t>
      </w:r>
    </w:p>
    <w:p w14:paraId="097EC953" w14:textId="77777777" w:rsidR="0040006A" w:rsidRPr="005D40C5" w:rsidRDefault="0040006A" w:rsidP="00FA746E">
      <w:pPr>
        <w:widowControl w:val="0"/>
        <w:numPr>
          <w:ilvl w:val="0"/>
          <w:numId w:val="37"/>
        </w:numPr>
        <w:tabs>
          <w:tab w:val="left" w:pos="810"/>
        </w:tabs>
        <w:autoSpaceDE w:val="0"/>
        <w:autoSpaceDN w:val="0"/>
        <w:adjustRightInd w:val="0"/>
        <w:spacing w:after="0"/>
        <w:ind w:left="810" w:hanging="180"/>
        <w:jc w:val="both"/>
        <w:rPr>
          <w:i/>
          <w:color w:val="000000"/>
        </w:rPr>
      </w:pPr>
      <w:r w:rsidRPr="005D40C5">
        <w:rPr>
          <w:i/>
          <w:color w:val="000000"/>
        </w:rPr>
        <w:t>Provid</w:t>
      </w:r>
      <w:r w:rsidR="00403AFE" w:rsidRPr="005D40C5">
        <w:rPr>
          <w:i/>
          <w:color w:val="000000"/>
        </w:rPr>
        <w:t>e</w:t>
      </w:r>
      <w:r w:rsidRPr="005D40C5">
        <w:rPr>
          <w:i/>
          <w:color w:val="000000"/>
        </w:rPr>
        <w:t xml:space="preserve"> general oversight and exercising overall accountability of the Fund;</w:t>
      </w:r>
    </w:p>
    <w:p w14:paraId="097EC954" w14:textId="77777777" w:rsidR="0040006A" w:rsidRPr="005D40C5" w:rsidRDefault="0040006A" w:rsidP="00FA746E">
      <w:pPr>
        <w:widowControl w:val="0"/>
        <w:numPr>
          <w:ilvl w:val="0"/>
          <w:numId w:val="37"/>
        </w:numPr>
        <w:tabs>
          <w:tab w:val="left" w:pos="810"/>
        </w:tabs>
        <w:autoSpaceDE w:val="0"/>
        <w:autoSpaceDN w:val="0"/>
        <w:adjustRightInd w:val="0"/>
        <w:spacing w:after="0"/>
        <w:ind w:left="810" w:hanging="180"/>
        <w:jc w:val="both"/>
        <w:rPr>
          <w:i/>
          <w:color w:val="000000"/>
        </w:rPr>
      </w:pPr>
      <w:r w:rsidRPr="005D40C5">
        <w:rPr>
          <w:i/>
          <w:color w:val="000000"/>
        </w:rPr>
        <w:t>Approv</w:t>
      </w:r>
      <w:r w:rsidR="00403AFE" w:rsidRPr="005D40C5">
        <w:rPr>
          <w:i/>
          <w:color w:val="000000"/>
        </w:rPr>
        <w:t>e</w:t>
      </w:r>
      <w:r w:rsidRPr="005D40C5">
        <w:rPr>
          <w:i/>
          <w:color w:val="000000"/>
        </w:rPr>
        <w:t xml:space="preserve"> the strategic direction of the Fund and its overall results framework; </w:t>
      </w:r>
    </w:p>
    <w:p w14:paraId="097EC955" w14:textId="77777777" w:rsidR="00403AFE" w:rsidRPr="005D40C5" w:rsidRDefault="0040006A" w:rsidP="00FA746E">
      <w:pPr>
        <w:pStyle w:val="ColorfulList-Accent11"/>
        <w:numPr>
          <w:ilvl w:val="0"/>
          <w:numId w:val="37"/>
        </w:numPr>
        <w:tabs>
          <w:tab w:val="left" w:pos="810"/>
        </w:tabs>
        <w:spacing w:after="0" w:line="240" w:lineRule="auto"/>
        <w:ind w:left="810" w:hanging="180"/>
        <w:rPr>
          <w:i/>
          <w:color w:val="000000"/>
        </w:rPr>
      </w:pPr>
      <w:r w:rsidRPr="005D40C5">
        <w:rPr>
          <w:i/>
          <w:color w:val="000000"/>
        </w:rPr>
        <w:t>Approv</w:t>
      </w:r>
      <w:r w:rsidR="00403AFE" w:rsidRPr="005D40C5">
        <w:rPr>
          <w:i/>
          <w:color w:val="000000"/>
        </w:rPr>
        <w:t>e</w:t>
      </w:r>
      <w:r w:rsidRPr="005D40C5">
        <w:rPr>
          <w:i/>
          <w:color w:val="000000"/>
        </w:rPr>
        <w:t xml:space="preserve"> Fund risk management strategy</w:t>
      </w:r>
      <w:r w:rsidR="00403AFE" w:rsidRPr="005D40C5">
        <w:rPr>
          <w:i/>
          <w:color w:val="000000"/>
        </w:rPr>
        <w:t xml:space="preserve"> and review risk monitoring regularly;</w:t>
      </w:r>
    </w:p>
    <w:p w14:paraId="097EC956" w14:textId="77777777" w:rsidR="0040006A" w:rsidRPr="005D40C5" w:rsidRDefault="0040006A" w:rsidP="00FA746E">
      <w:pPr>
        <w:pStyle w:val="ColorfulList-Accent11"/>
        <w:numPr>
          <w:ilvl w:val="0"/>
          <w:numId w:val="37"/>
        </w:numPr>
        <w:tabs>
          <w:tab w:val="left" w:pos="810"/>
        </w:tabs>
        <w:spacing w:after="0" w:line="259" w:lineRule="auto"/>
        <w:ind w:left="810" w:hanging="180"/>
        <w:rPr>
          <w:i/>
          <w:color w:val="000000"/>
        </w:rPr>
      </w:pPr>
      <w:r w:rsidRPr="005D40C5">
        <w:rPr>
          <w:i/>
          <w:color w:val="000000"/>
        </w:rPr>
        <w:t>Review and approv</w:t>
      </w:r>
      <w:r w:rsidR="00403AFE" w:rsidRPr="005D40C5">
        <w:rPr>
          <w:i/>
          <w:color w:val="000000"/>
        </w:rPr>
        <w:t>e</w:t>
      </w:r>
      <w:r w:rsidRPr="005D40C5">
        <w:rPr>
          <w:i/>
          <w:color w:val="000000"/>
        </w:rPr>
        <w:t xml:space="preserve"> proposals submitted for funding (if applicable: after being cleared by the relevant thematic working groups), ensuring their conformity with the requirements of the Fund Terms of Reference (TOR);</w:t>
      </w:r>
    </w:p>
    <w:p w14:paraId="097EC957" w14:textId="77777777" w:rsidR="0040006A" w:rsidRPr="005D40C5" w:rsidRDefault="00403AFE" w:rsidP="00FA746E">
      <w:pPr>
        <w:widowControl w:val="0"/>
        <w:numPr>
          <w:ilvl w:val="0"/>
          <w:numId w:val="37"/>
        </w:numPr>
        <w:tabs>
          <w:tab w:val="left" w:pos="810"/>
        </w:tabs>
        <w:autoSpaceDE w:val="0"/>
        <w:autoSpaceDN w:val="0"/>
        <w:adjustRightInd w:val="0"/>
        <w:spacing w:after="0"/>
        <w:ind w:left="810" w:hanging="180"/>
        <w:jc w:val="both"/>
        <w:rPr>
          <w:i/>
          <w:color w:val="000000"/>
        </w:rPr>
      </w:pPr>
      <w:r w:rsidRPr="005D40C5">
        <w:rPr>
          <w:i/>
          <w:color w:val="000000"/>
        </w:rPr>
        <w:t>Decide the allocation of funds</w:t>
      </w:r>
      <w:r w:rsidR="0040006A" w:rsidRPr="005D40C5">
        <w:rPr>
          <w:i/>
          <w:color w:val="000000"/>
        </w:rPr>
        <w:t>;</w:t>
      </w:r>
    </w:p>
    <w:p w14:paraId="097EC958" w14:textId="77777777" w:rsidR="0040006A" w:rsidRPr="005D40C5" w:rsidRDefault="0040006A" w:rsidP="00FA746E">
      <w:pPr>
        <w:widowControl w:val="0"/>
        <w:numPr>
          <w:ilvl w:val="0"/>
          <w:numId w:val="37"/>
        </w:numPr>
        <w:tabs>
          <w:tab w:val="left" w:pos="810"/>
        </w:tabs>
        <w:autoSpaceDE w:val="0"/>
        <w:autoSpaceDN w:val="0"/>
        <w:adjustRightInd w:val="0"/>
        <w:spacing w:after="0"/>
        <w:ind w:left="810" w:hanging="180"/>
        <w:jc w:val="both"/>
        <w:rPr>
          <w:i/>
          <w:color w:val="000000"/>
        </w:rPr>
      </w:pPr>
      <w:r w:rsidRPr="005D40C5">
        <w:rPr>
          <w:i/>
          <w:color w:val="000000"/>
        </w:rPr>
        <w:t>Request fund transfers to the Administrative Agent</w:t>
      </w:r>
      <w:r w:rsidR="00680F54" w:rsidRPr="005D40C5">
        <w:rPr>
          <w:i/>
          <w:color w:val="000000"/>
        </w:rPr>
        <w:t xml:space="preserve"> (signed off by UN member of the Steering Committee)</w:t>
      </w:r>
      <w:r w:rsidR="00403AFE" w:rsidRPr="005D40C5">
        <w:rPr>
          <w:i/>
          <w:color w:val="000000"/>
        </w:rPr>
        <w:t>;</w:t>
      </w:r>
      <w:r w:rsidRPr="005D40C5">
        <w:rPr>
          <w:i/>
          <w:color w:val="000000"/>
        </w:rPr>
        <w:t xml:space="preserve"> </w:t>
      </w:r>
    </w:p>
    <w:p w14:paraId="097EC959" w14:textId="77777777" w:rsidR="0040006A" w:rsidRPr="005D40C5" w:rsidRDefault="0040006A" w:rsidP="00FA746E">
      <w:pPr>
        <w:pStyle w:val="ColorfulList-Accent11"/>
        <w:numPr>
          <w:ilvl w:val="0"/>
          <w:numId w:val="37"/>
        </w:numPr>
        <w:tabs>
          <w:tab w:val="left" w:pos="810"/>
        </w:tabs>
        <w:spacing w:after="0" w:line="240" w:lineRule="auto"/>
        <w:ind w:left="810" w:hanging="180"/>
        <w:rPr>
          <w:i/>
          <w:color w:val="000000"/>
        </w:rPr>
      </w:pPr>
      <w:r w:rsidRPr="005D40C5">
        <w:rPr>
          <w:i/>
          <w:color w:val="000000"/>
        </w:rPr>
        <w:t xml:space="preserve">Review Fund status and oversee the overall progress against </w:t>
      </w:r>
      <w:r w:rsidR="00403AFE" w:rsidRPr="005D40C5">
        <w:rPr>
          <w:i/>
          <w:color w:val="000000"/>
        </w:rPr>
        <w:t xml:space="preserve">the </w:t>
      </w:r>
      <w:r w:rsidRPr="005D40C5">
        <w:rPr>
          <w:i/>
          <w:color w:val="000000"/>
        </w:rPr>
        <w:t xml:space="preserve">results framework through monitoring, reporting and evaluation;  </w:t>
      </w:r>
    </w:p>
    <w:p w14:paraId="097EC95A" w14:textId="77777777" w:rsidR="0040006A" w:rsidRPr="005D40C5" w:rsidRDefault="0040006A" w:rsidP="00FA746E">
      <w:pPr>
        <w:pStyle w:val="ColorfulList-Accent11"/>
        <w:numPr>
          <w:ilvl w:val="0"/>
          <w:numId w:val="37"/>
        </w:numPr>
        <w:tabs>
          <w:tab w:val="left" w:pos="810"/>
        </w:tabs>
        <w:spacing w:after="0" w:line="259" w:lineRule="auto"/>
        <w:ind w:left="810" w:hanging="180"/>
        <w:rPr>
          <w:i/>
          <w:color w:val="000000"/>
        </w:rPr>
      </w:pPr>
      <w:r w:rsidRPr="005D40C5">
        <w:rPr>
          <w:i/>
          <w:color w:val="000000"/>
        </w:rPr>
        <w:t>Review and approv</w:t>
      </w:r>
      <w:r w:rsidR="00403AFE" w:rsidRPr="005D40C5">
        <w:rPr>
          <w:i/>
          <w:color w:val="000000"/>
        </w:rPr>
        <w:t>e</w:t>
      </w:r>
      <w:r w:rsidRPr="005D40C5">
        <w:rPr>
          <w:i/>
          <w:color w:val="000000"/>
        </w:rPr>
        <w:t xml:space="preserve"> the periodic progress reports consolidated by the Administrative Agent and the Secretariat based on the progress reports submitted by the Implementing Entities;</w:t>
      </w:r>
    </w:p>
    <w:p w14:paraId="097EC95B" w14:textId="77777777" w:rsidR="0040006A" w:rsidRPr="005D40C5" w:rsidRDefault="0040006A" w:rsidP="00FA746E">
      <w:pPr>
        <w:widowControl w:val="0"/>
        <w:numPr>
          <w:ilvl w:val="0"/>
          <w:numId w:val="37"/>
        </w:numPr>
        <w:tabs>
          <w:tab w:val="left" w:pos="810"/>
        </w:tabs>
        <w:autoSpaceDE w:val="0"/>
        <w:autoSpaceDN w:val="0"/>
        <w:adjustRightInd w:val="0"/>
        <w:spacing w:after="0"/>
        <w:ind w:left="810" w:hanging="180"/>
        <w:jc w:val="both"/>
        <w:rPr>
          <w:i/>
          <w:color w:val="000000"/>
        </w:rPr>
      </w:pPr>
      <w:r w:rsidRPr="005D40C5">
        <w:rPr>
          <w:i/>
          <w:color w:val="000000"/>
        </w:rPr>
        <w:t>Commission mid-</w:t>
      </w:r>
      <w:r w:rsidR="000E2796" w:rsidRPr="005D40C5">
        <w:rPr>
          <w:i/>
          <w:color w:val="000000"/>
        </w:rPr>
        <w:t>term</w:t>
      </w:r>
      <w:r w:rsidRPr="005D40C5">
        <w:rPr>
          <w:i/>
          <w:color w:val="000000"/>
        </w:rPr>
        <w:t xml:space="preserve"> and final independent evaluations on the overall performance of the Fund; </w:t>
      </w:r>
    </w:p>
    <w:p w14:paraId="097EC95C" w14:textId="77777777" w:rsidR="0040006A" w:rsidRPr="005D40C5" w:rsidRDefault="0040006A" w:rsidP="00FA746E">
      <w:pPr>
        <w:widowControl w:val="0"/>
        <w:numPr>
          <w:ilvl w:val="0"/>
          <w:numId w:val="37"/>
        </w:numPr>
        <w:tabs>
          <w:tab w:val="left" w:pos="810"/>
        </w:tabs>
        <w:autoSpaceDE w:val="0"/>
        <w:autoSpaceDN w:val="0"/>
        <w:adjustRightInd w:val="0"/>
        <w:spacing w:after="0"/>
        <w:ind w:left="810" w:hanging="180"/>
        <w:jc w:val="both"/>
        <w:rPr>
          <w:i/>
          <w:color w:val="000000"/>
        </w:rPr>
      </w:pPr>
      <w:r w:rsidRPr="005D40C5">
        <w:rPr>
          <w:i/>
          <w:color w:val="000000"/>
        </w:rPr>
        <w:t>Approv</w:t>
      </w:r>
      <w:r w:rsidR="000E2796" w:rsidRPr="005D40C5">
        <w:rPr>
          <w:i/>
          <w:color w:val="000000"/>
        </w:rPr>
        <w:t>e</w:t>
      </w:r>
      <w:r w:rsidRPr="005D40C5">
        <w:rPr>
          <w:i/>
          <w:color w:val="000000"/>
        </w:rPr>
        <w:t xml:space="preserve"> direct costs related to fund operations support</w:t>
      </w:r>
      <w:r w:rsidR="00784196" w:rsidRPr="005D40C5">
        <w:rPr>
          <w:i/>
          <w:color w:val="000000"/>
        </w:rPr>
        <w:t>ed</w:t>
      </w:r>
      <w:r w:rsidRPr="005D40C5">
        <w:rPr>
          <w:i/>
          <w:color w:val="000000"/>
        </w:rPr>
        <w:t xml:space="preserve"> by the Secretariat; </w:t>
      </w:r>
    </w:p>
    <w:p w14:paraId="097EC95D" w14:textId="77777777" w:rsidR="0040006A" w:rsidRPr="005D40C5" w:rsidRDefault="0040006A" w:rsidP="00FA746E">
      <w:pPr>
        <w:pStyle w:val="ColorfulList-Accent11"/>
        <w:numPr>
          <w:ilvl w:val="0"/>
          <w:numId w:val="37"/>
        </w:numPr>
        <w:tabs>
          <w:tab w:val="left" w:pos="810"/>
        </w:tabs>
        <w:spacing w:after="0" w:line="259" w:lineRule="auto"/>
        <w:ind w:left="810" w:hanging="180"/>
        <w:rPr>
          <w:i/>
          <w:color w:val="000000"/>
        </w:rPr>
      </w:pPr>
      <w:r w:rsidRPr="005D40C5">
        <w:rPr>
          <w:i/>
          <w:color w:val="000000"/>
        </w:rPr>
        <w:t>Approv</w:t>
      </w:r>
      <w:r w:rsidR="000E2796" w:rsidRPr="005D40C5">
        <w:rPr>
          <w:i/>
          <w:color w:val="000000"/>
        </w:rPr>
        <w:t>e</w:t>
      </w:r>
      <w:r w:rsidRPr="005D40C5">
        <w:rPr>
          <w:i/>
          <w:color w:val="000000"/>
        </w:rPr>
        <w:t xml:space="preserve"> </w:t>
      </w:r>
      <w:r w:rsidR="000E2796" w:rsidRPr="005D40C5">
        <w:rPr>
          <w:i/>
          <w:color w:val="000000"/>
        </w:rPr>
        <w:t xml:space="preserve">Fund extensions </w:t>
      </w:r>
      <w:r w:rsidRPr="005D40C5">
        <w:rPr>
          <w:i/>
          <w:color w:val="000000"/>
        </w:rPr>
        <w:t>and updat</w:t>
      </w:r>
      <w:r w:rsidR="000E2796" w:rsidRPr="005D40C5">
        <w:rPr>
          <w:i/>
          <w:color w:val="000000"/>
        </w:rPr>
        <w:t>es</w:t>
      </w:r>
      <w:r w:rsidRPr="005D40C5">
        <w:rPr>
          <w:i/>
          <w:color w:val="000000"/>
        </w:rPr>
        <w:t xml:space="preserve"> </w:t>
      </w:r>
      <w:r w:rsidR="000E2796" w:rsidRPr="005D40C5">
        <w:rPr>
          <w:i/>
          <w:color w:val="000000"/>
        </w:rPr>
        <w:t xml:space="preserve">to </w:t>
      </w:r>
      <w:r w:rsidRPr="005D40C5">
        <w:rPr>
          <w:i/>
          <w:color w:val="000000"/>
        </w:rPr>
        <w:t>the Fund TOR, as required.</w:t>
      </w:r>
    </w:p>
    <w:p w14:paraId="097EC95E" w14:textId="77777777" w:rsidR="00685E45" w:rsidRPr="005D40C5" w:rsidRDefault="00685E45" w:rsidP="00FA746E">
      <w:pPr>
        <w:pStyle w:val="ColorfulList-Accent11"/>
        <w:numPr>
          <w:ilvl w:val="0"/>
          <w:numId w:val="37"/>
        </w:numPr>
        <w:tabs>
          <w:tab w:val="left" w:pos="810"/>
        </w:tabs>
        <w:spacing w:after="0" w:line="259" w:lineRule="auto"/>
        <w:ind w:left="810" w:hanging="180"/>
        <w:rPr>
          <w:i/>
          <w:color w:val="000000"/>
        </w:rPr>
      </w:pPr>
      <w:r w:rsidRPr="005D40C5">
        <w:rPr>
          <w:i/>
          <w:color w:val="000000"/>
        </w:rPr>
        <w:t>Develop and implement resource mobilization strategies to capitalize the Fund.</w:t>
      </w:r>
    </w:p>
    <w:p w14:paraId="097EC95F" w14:textId="77777777" w:rsidR="0040006A" w:rsidRPr="005D40C5" w:rsidRDefault="0040006A" w:rsidP="0040006A"/>
    <w:p w14:paraId="097EC960" w14:textId="77777777" w:rsidR="007413ED" w:rsidRPr="005D40C5" w:rsidRDefault="007413ED" w:rsidP="007413ED">
      <w:pPr>
        <w:tabs>
          <w:tab w:val="left" w:pos="540"/>
          <w:tab w:val="left" w:pos="1080"/>
        </w:tabs>
        <w:jc w:val="both"/>
        <w:rPr>
          <w:b/>
          <w:i/>
        </w:rPr>
      </w:pPr>
      <w:r w:rsidRPr="005D40C5">
        <w:rPr>
          <w:b/>
          <w:i/>
        </w:rPr>
        <w:t>Secretariat</w:t>
      </w:r>
    </w:p>
    <w:p w14:paraId="097EC961" w14:textId="77777777" w:rsidR="007413ED" w:rsidRPr="005D40C5" w:rsidRDefault="007413ED" w:rsidP="007413ED">
      <w:pPr>
        <w:autoSpaceDE w:val="0"/>
        <w:autoSpaceDN w:val="0"/>
        <w:adjustRightInd w:val="0"/>
        <w:jc w:val="both"/>
        <w:rPr>
          <w:i/>
        </w:rPr>
      </w:pPr>
      <w:r w:rsidRPr="005D40C5">
        <w:rPr>
          <w:i/>
        </w:rPr>
        <w:t>Description of the roles and responsibilities of the MDTF Secretariat</w:t>
      </w:r>
      <w:r w:rsidR="00C303DF" w:rsidRPr="005D40C5">
        <w:rPr>
          <w:i/>
        </w:rPr>
        <w:t xml:space="preserve">. </w:t>
      </w:r>
      <w:r w:rsidR="00AE6E3A" w:rsidRPr="005D40C5">
        <w:rPr>
          <w:i/>
        </w:rPr>
        <w:t>Typically this is the entity</w:t>
      </w:r>
      <w:r w:rsidR="00AE6E3A" w:rsidRPr="005D40C5">
        <w:rPr>
          <w:lang w:val="en"/>
        </w:rPr>
        <w:t xml:space="preserve"> </w:t>
      </w:r>
      <w:r w:rsidR="00AE6E3A" w:rsidRPr="005D40C5">
        <w:rPr>
          <w:i/>
          <w:lang w:val="en"/>
        </w:rPr>
        <w:t xml:space="preserve">responsible for the </w:t>
      </w:r>
      <w:r w:rsidR="005C634F" w:rsidRPr="005D40C5">
        <w:rPr>
          <w:i/>
          <w:lang w:val="en"/>
        </w:rPr>
        <w:t>programmatic</w:t>
      </w:r>
      <w:r w:rsidR="00AE6E3A" w:rsidRPr="005D40C5">
        <w:rPr>
          <w:i/>
          <w:lang w:val="en"/>
        </w:rPr>
        <w:t xml:space="preserve"> </w:t>
      </w:r>
      <w:r w:rsidR="00CE6CE2" w:rsidRPr="005D40C5">
        <w:rPr>
          <w:i/>
          <w:lang w:val="en"/>
        </w:rPr>
        <w:t>coordination</w:t>
      </w:r>
      <w:r w:rsidR="00AE6E3A" w:rsidRPr="005D40C5">
        <w:rPr>
          <w:i/>
          <w:lang w:val="en"/>
        </w:rPr>
        <w:t xml:space="preserve"> and monitoring of the Fund.</w:t>
      </w:r>
      <w:r w:rsidR="00317488" w:rsidRPr="005D40C5">
        <w:rPr>
          <w:i/>
          <w:color w:val="000000"/>
        </w:rPr>
        <w:t xml:space="preserve"> The unit is usually embedded (</w:t>
      </w:r>
      <w:r w:rsidR="00401D6A" w:rsidRPr="005D40C5">
        <w:rPr>
          <w:i/>
          <w:color w:val="000000"/>
        </w:rPr>
        <w:t xml:space="preserve">e.g. </w:t>
      </w:r>
      <w:r w:rsidR="00317488" w:rsidRPr="005D40C5">
        <w:rPr>
          <w:i/>
          <w:color w:val="000000"/>
        </w:rPr>
        <w:t xml:space="preserve">RCO, relevant </w:t>
      </w:r>
      <w:r w:rsidR="00401D6A" w:rsidRPr="005D40C5">
        <w:rPr>
          <w:i/>
          <w:color w:val="000000"/>
        </w:rPr>
        <w:t>m</w:t>
      </w:r>
      <w:r w:rsidR="00317488" w:rsidRPr="005D40C5">
        <w:rPr>
          <w:i/>
          <w:color w:val="000000"/>
        </w:rPr>
        <w:t>inistry</w:t>
      </w:r>
      <w:r w:rsidR="00401D6A" w:rsidRPr="005D40C5">
        <w:rPr>
          <w:i/>
          <w:color w:val="000000"/>
        </w:rPr>
        <w:t>, regional office</w:t>
      </w:r>
      <w:r w:rsidR="00317488" w:rsidRPr="005D40C5">
        <w:rPr>
          <w:i/>
          <w:color w:val="000000"/>
        </w:rPr>
        <w:t>) and provides technical and management support</w:t>
      </w:r>
      <w:r w:rsidR="000A08FA" w:rsidRPr="005D40C5">
        <w:rPr>
          <w:i/>
          <w:color w:val="000000"/>
        </w:rPr>
        <w:t>.</w:t>
      </w:r>
      <w:r w:rsidR="00AE6E3A" w:rsidRPr="005D40C5">
        <w:rPr>
          <w:i/>
        </w:rPr>
        <w:t xml:space="preserve"> </w:t>
      </w:r>
      <w:r w:rsidR="00CE6CE2" w:rsidRPr="005D40C5">
        <w:rPr>
          <w:i/>
        </w:rPr>
        <w:t xml:space="preserve">The Secretariat is normally hosted by one of the Participating UN Organisations. </w:t>
      </w:r>
      <w:r w:rsidRPr="005D40C5">
        <w:rPr>
          <w:i/>
          <w:color w:val="333333"/>
        </w:rPr>
        <w:t xml:space="preserve">As per the MDTF MOU/SAA, </w:t>
      </w:r>
      <w:r w:rsidRPr="005D40C5">
        <w:rPr>
          <w:i/>
        </w:rPr>
        <w:t>the costs of such support may be charged as direct costs to the MDTF</w:t>
      </w:r>
      <w:r w:rsidR="000A08FA" w:rsidRPr="005D40C5">
        <w:rPr>
          <w:i/>
          <w:color w:val="333333"/>
        </w:rPr>
        <w:t xml:space="preserve"> with</w:t>
      </w:r>
      <w:r w:rsidR="000A08FA" w:rsidRPr="005D40C5">
        <w:rPr>
          <w:i/>
        </w:rPr>
        <w:t xml:space="preserve"> the approval of the Steering Committee</w:t>
      </w:r>
      <w:r w:rsidRPr="005D40C5">
        <w:rPr>
          <w:i/>
        </w:rPr>
        <w:t>.</w:t>
      </w:r>
      <w:r w:rsidR="00401D6A" w:rsidRPr="005D40C5">
        <w:rPr>
          <w:i/>
        </w:rPr>
        <w:t xml:space="preserve"> The budget is agreed and approved annually by the Steering Committee, and </w:t>
      </w:r>
      <w:r w:rsidR="003F2FE4" w:rsidRPr="005D40C5">
        <w:rPr>
          <w:i/>
        </w:rPr>
        <w:t>w</w:t>
      </w:r>
      <w:r w:rsidR="00401D6A" w:rsidRPr="005D40C5">
        <w:rPr>
          <w:i/>
        </w:rPr>
        <w:t xml:space="preserve">ould </w:t>
      </w:r>
      <w:r w:rsidR="007068DF" w:rsidRPr="005D40C5">
        <w:rPr>
          <w:i/>
        </w:rPr>
        <w:t xml:space="preserve">normally </w:t>
      </w:r>
      <w:r w:rsidR="00401D6A" w:rsidRPr="005D40C5">
        <w:rPr>
          <w:i/>
        </w:rPr>
        <w:t>not exceed 3%.</w:t>
      </w:r>
    </w:p>
    <w:p w14:paraId="097EC962" w14:textId="77777777" w:rsidR="00AE6E3A" w:rsidRPr="005D40C5" w:rsidRDefault="00AE6E3A" w:rsidP="00AE6E3A">
      <w:pPr>
        <w:spacing w:after="120"/>
        <w:jc w:val="both"/>
        <w:rPr>
          <w:i/>
          <w:color w:val="000000"/>
        </w:rPr>
      </w:pPr>
      <w:r w:rsidRPr="005D40C5">
        <w:rPr>
          <w:i/>
          <w:color w:val="000000"/>
        </w:rPr>
        <w:t>The</w:t>
      </w:r>
      <w:r w:rsidR="00401D6A" w:rsidRPr="005D40C5">
        <w:rPr>
          <w:i/>
          <w:color w:val="000000"/>
        </w:rPr>
        <w:t xml:space="preserve"> </w:t>
      </w:r>
      <w:r w:rsidRPr="005D40C5">
        <w:rPr>
          <w:i/>
          <w:color w:val="000000"/>
        </w:rPr>
        <w:t xml:space="preserve">Secretariat </w:t>
      </w:r>
      <w:r w:rsidR="00401D6A" w:rsidRPr="005D40C5">
        <w:rPr>
          <w:i/>
          <w:color w:val="000000"/>
        </w:rPr>
        <w:t>is</w:t>
      </w:r>
      <w:r w:rsidRPr="005D40C5">
        <w:rPr>
          <w:i/>
          <w:color w:val="000000"/>
        </w:rPr>
        <w:t xml:space="preserve"> responsible for:</w:t>
      </w:r>
    </w:p>
    <w:p w14:paraId="097EC963" w14:textId="77777777" w:rsidR="004C40C2" w:rsidRPr="005D40C5" w:rsidRDefault="00AE6E3A" w:rsidP="004C40C2">
      <w:pPr>
        <w:pStyle w:val="ColorfulList-Accent11"/>
        <w:numPr>
          <w:ilvl w:val="0"/>
          <w:numId w:val="38"/>
        </w:numPr>
        <w:tabs>
          <w:tab w:val="left" w:pos="810"/>
        </w:tabs>
        <w:spacing w:after="120"/>
        <w:ind w:left="810" w:hanging="270"/>
        <w:jc w:val="both"/>
        <w:rPr>
          <w:i/>
          <w:color w:val="000000"/>
        </w:rPr>
      </w:pPr>
      <w:r w:rsidRPr="005D40C5">
        <w:rPr>
          <w:i/>
          <w:color w:val="000000"/>
        </w:rPr>
        <w:t xml:space="preserve">Advise the </w:t>
      </w:r>
      <w:r w:rsidR="000A08FA" w:rsidRPr="005D40C5">
        <w:rPr>
          <w:i/>
          <w:color w:val="000000"/>
        </w:rPr>
        <w:t>Steering Committee</w:t>
      </w:r>
      <w:r w:rsidRPr="005D40C5">
        <w:rPr>
          <w:i/>
          <w:color w:val="000000"/>
        </w:rPr>
        <w:t xml:space="preserve"> on strategic priorities, programmatic and financial allocations </w:t>
      </w:r>
      <w:r w:rsidR="000A08FA" w:rsidRPr="005D40C5">
        <w:rPr>
          <w:i/>
          <w:color w:val="000000"/>
        </w:rPr>
        <w:t>(</w:t>
      </w:r>
      <w:r w:rsidRPr="005D40C5">
        <w:rPr>
          <w:i/>
          <w:color w:val="000000"/>
        </w:rPr>
        <w:t xml:space="preserve">based on the inputs </w:t>
      </w:r>
      <w:r w:rsidR="000A08FA" w:rsidRPr="005D40C5">
        <w:rPr>
          <w:i/>
          <w:color w:val="000000"/>
        </w:rPr>
        <w:t>of</w:t>
      </w:r>
      <w:r w:rsidRPr="005D40C5">
        <w:rPr>
          <w:i/>
          <w:color w:val="000000"/>
        </w:rPr>
        <w:t xml:space="preserve"> inter-agency </w:t>
      </w:r>
      <w:r w:rsidR="000A08FA" w:rsidRPr="005D40C5">
        <w:rPr>
          <w:i/>
          <w:color w:val="000000"/>
        </w:rPr>
        <w:t>w</w:t>
      </w:r>
      <w:r w:rsidRPr="005D40C5">
        <w:rPr>
          <w:i/>
          <w:color w:val="000000"/>
        </w:rPr>
        <w:t xml:space="preserve">orking </w:t>
      </w:r>
      <w:r w:rsidR="000A08FA" w:rsidRPr="005D40C5">
        <w:rPr>
          <w:i/>
          <w:color w:val="000000"/>
        </w:rPr>
        <w:t>g</w:t>
      </w:r>
      <w:r w:rsidRPr="005D40C5">
        <w:rPr>
          <w:i/>
          <w:color w:val="000000"/>
        </w:rPr>
        <w:t>roups</w:t>
      </w:r>
      <w:r w:rsidR="00FC00E6" w:rsidRPr="005D40C5">
        <w:rPr>
          <w:i/>
          <w:color w:val="000000"/>
        </w:rPr>
        <w:t xml:space="preserve"> and the Administrative Agent</w:t>
      </w:r>
      <w:r w:rsidR="000A08FA" w:rsidRPr="005D40C5">
        <w:rPr>
          <w:i/>
          <w:color w:val="000000"/>
        </w:rPr>
        <w:t>, if applicable)</w:t>
      </w:r>
    </w:p>
    <w:p w14:paraId="097EC964" w14:textId="77777777" w:rsidR="00AE6E3A" w:rsidRPr="005D40C5" w:rsidRDefault="004C40C2" w:rsidP="004C40C2">
      <w:pPr>
        <w:pStyle w:val="ColorfulList-Accent11"/>
        <w:numPr>
          <w:ilvl w:val="0"/>
          <w:numId w:val="38"/>
        </w:numPr>
        <w:tabs>
          <w:tab w:val="left" w:pos="810"/>
        </w:tabs>
        <w:spacing w:after="120"/>
        <w:ind w:left="810" w:hanging="270"/>
        <w:jc w:val="both"/>
        <w:rPr>
          <w:i/>
          <w:color w:val="000000"/>
        </w:rPr>
      </w:pPr>
      <w:r w:rsidRPr="005D40C5">
        <w:rPr>
          <w:i/>
          <w:color w:val="000000"/>
        </w:rPr>
        <w:t>Provide logistical and operational support to the Steering Committee</w:t>
      </w:r>
      <w:r w:rsidR="00AE6E3A" w:rsidRPr="005D40C5">
        <w:rPr>
          <w:i/>
          <w:color w:val="000000"/>
        </w:rPr>
        <w:t xml:space="preserve">; </w:t>
      </w:r>
    </w:p>
    <w:p w14:paraId="097EC965" w14:textId="77777777" w:rsidR="00AE6E3A" w:rsidRPr="005D40C5" w:rsidRDefault="00AE6E3A" w:rsidP="003C08D1">
      <w:pPr>
        <w:pStyle w:val="ColorfulList-Accent11"/>
        <w:numPr>
          <w:ilvl w:val="0"/>
          <w:numId w:val="38"/>
        </w:numPr>
        <w:tabs>
          <w:tab w:val="left" w:pos="810"/>
        </w:tabs>
        <w:spacing w:after="120"/>
        <w:ind w:left="810" w:hanging="270"/>
        <w:jc w:val="both"/>
        <w:rPr>
          <w:i/>
          <w:color w:val="000000"/>
        </w:rPr>
      </w:pPr>
      <w:r w:rsidRPr="005D40C5">
        <w:rPr>
          <w:i/>
          <w:color w:val="000000"/>
        </w:rPr>
        <w:t>Organize calls for proposals and appraisal processes;</w:t>
      </w:r>
    </w:p>
    <w:p w14:paraId="097EC966" w14:textId="77777777" w:rsidR="00AE6E3A" w:rsidRPr="005D40C5" w:rsidRDefault="00AE6E3A" w:rsidP="003C08D1">
      <w:pPr>
        <w:pStyle w:val="ColorfulList-Accent11"/>
        <w:numPr>
          <w:ilvl w:val="0"/>
          <w:numId w:val="38"/>
        </w:numPr>
        <w:tabs>
          <w:tab w:val="left" w:pos="810"/>
        </w:tabs>
        <w:spacing w:after="120"/>
        <w:ind w:left="810" w:hanging="270"/>
        <w:jc w:val="both"/>
        <w:rPr>
          <w:i/>
          <w:color w:val="000000"/>
        </w:rPr>
      </w:pPr>
      <w:r w:rsidRPr="005D40C5">
        <w:rPr>
          <w:i/>
          <w:color w:val="000000"/>
        </w:rPr>
        <w:t>Ensure the monitoring of the operational risks</w:t>
      </w:r>
      <w:r w:rsidR="004C40C2" w:rsidRPr="005D40C5">
        <w:rPr>
          <w:i/>
          <w:color w:val="000000"/>
        </w:rPr>
        <w:t xml:space="preserve"> and Fund performance</w:t>
      </w:r>
      <w:r w:rsidRPr="005D40C5">
        <w:rPr>
          <w:i/>
          <w:color w:val="000000"/>
        </w:rPr>
        <w:t xml:space="preserve">; </w:t>
      </w:r>
    </w:p>
    <w:p w14:paraId="097EC967" w14:textId="77777777" w:rsidR="00AE6E3A" w:rsidRPr="005D40C5" w:rsidRDefault="00AE6E3A" w:rsidP="003C08D1">
      <w:pPr>
        <w:pStyle w:val="ColorfulList-Accent11"/>
        <w:numPr>
          <w:ilvl w:val="0"/>
          <w:numId w:val="38"/>
        </w:numPr>
        <w:tabs>
          <w:tab w:val="left" w:pos="810"/>
        </w:tabs>
        <w:spacing w:after="120"/>
        <w:ind w:left="810" w:hanging="270"/>
        <w:jc w:val="both"/>
        <w:rPr>
          <w:i/>
          <w:color w:val="000000"/>
        </w:rPr>
      </w:pPr>
      <w:r w:rsidRPr="005D40C5">
        <w:rPr>
          <w:i/>
          <w:color w:val="000000"/>
        </w:rPr>
        <w:t xml:space="preserve">Consolidate annual and final narrative reports provided by the </w:t>
      </w:r>
      <w:r w:rsidR="00CE6CE2" w:rsidRPr="005D40C5">
        <w:rPr>
          <w:i/>
          <w:color w:val="000000"/>
        </w:rPr>
        <w:t xml:space="preserve">Participating UN Organisations  </w:t>
      </w:r>
      <w:r w:rsidRPr="005D40C5">
        <w:rPr>
          <w:i/>
          <w:color w:val="000000"/>
        </w:rPr>
        <w:t xml:space="preserve">and </w:t>
      </w:r>
      <w:r w:rsidR="00CE6CE2" w:rsidRPr="005D40C5">
        <w:rPr>
          <w:i/>
          <w:color w:val="000000"/>
        </w:rPr>
        <w:t>share</w:t>
      </w:r>
      <w:r w:rsidRPr="005D40C5">
        <w:rPr>
          <w:i/>
          <w:color w:val="000000"/>
        </w:rPr>
        <w:t xml:space="preserve"> </w:t>
      </w:r>
      <w:r w:rsidR="00CE6CE2" w:rsidRPr="005D40C5">
        <w:rPr>
          <w:i/>
          <w:color w:val="000000"/>
        </w:rPr>
        <w:t>with</w:t>
      </w:r>
      <w:r w:rsidRPr="005D40C5">
        <w:rPr>
          <w:i/>
          <w:color w:val="000000"/>
        </w:rPr>
        <w:t xml:space="preserve"> the </w:t>
      </w:r>
      <w:r w:rsidR="00CE6CE2" w:rsidRPr="005D40C5">
        <w:rPr>
          <w:i/>
          <w:color w:val="000000"/>
        </w:rPr>
        <w:t>Steering Committee</w:t>
      </w:r>
      <w:r w:rsidRPr="005D40C5">
        <w:rPr>
          <w:i/>
          <w:color w:val="000000"/>
        </w:rPr>
        <w:t xml:space="preserve"> for </w:t>
      </w:r>
      <w:r w:rsidR="00CE6CE2" w:rsidRPr="005D40C5">
        <w:rPr>
          <w:i/>
          <w:color w:val="000000"/>
        </w:rPr>
        <w:t xml:space="preserve">review as well as with </w:t>
      </w:r>
      <w:r w:rsidR="00C303DF" w:rsidRPr="005D40C5">
        <w:rPr>
          <w:i/>
          <w:color w:val="000000"/>
        </w:rPr>
        <w:t>Administrative</w:t>
      </w:r>
      <w:r w:rsidR="00CE6CE2" w:rsidRPr="005D40C5">
        <w:rPr>
          <w:i/>
          <w:color w:val="000000"/>
        </w:rPr>
        <w:t xml:space="preserve"> Agent for preparation of consolidated narrative and financial reports</w:t>
      </w:r>
      <w:r w:rsidRPr="005D40C5">
        <w:rPr>
          <w:i/>
          <w:color w:val="000000"/>
        </w:rPr>
        <w:t>;</w:t>
      </w:r>
    </w:p>
    <w:p w14:paraId="097EC968" w14:textId="77777777" w:rsidR="00AE6E3A" w:rsidRPr="005D40C5" w:rsidRDefault="00AE6E3A" w:rsidP="003C08D1">
      <w:pPr>
        <w:pStyle w:val="ColorfulList-Accent11"/>
        <w:numPr>
          <w:ilvl w:val="0"/>
          <w:numId w:val="38"/>
        </w:numPr>
        <w:tabs>
          <w:tab w:val="left" w:pos="810"/>
        </w:tabs>
        <w:spacing w:after="120"/>
        <w:ind w:left="810" w:hanging="270"/>
        <w:jc w:val="both"/>
        <w:rPr>
          <w:i/>
          <w:color w:val="000000"/>
        </w:rPr>
      </w:pPr>
      <w:r w:rsidRPr="005D40C5">
        <w:rPr>
          <w:i/>
          <w:color w:val="000000"/>
        </w:rPr>
        <w:t xml:space="preserve">Facilitate collaboration and communication between </w:t>
      </w:r>
      <w:r w:rsidR="00CE6CE2" w:rsidRPr="005D40C5">
        <w:rPr>
          <w:i/>
          <w:color w:val="000000"/>
        </w:rPr>
        <w:t>Participating UN O</w:t>
      </w:r>
      <w:r w:rsidR="000A08FA" w:rsidRPr="005D40C5">
        <w:rPr>
          <w:i/>
          <w:color w:val="000000"/>
        </w:rPr>
        <w:t>rganizations</w:t>
      </w:r>
      <w:r w:rsidRPr="005D40C5">
        <w:rPr>
          <w:i/>
          <w:color w:val="000000"/>
        </w:rPr>
        <w:t xml:space="preserve"> to ensure programmes are implemented effectively. </w:t>
      </w:r>
    </w:p>
    <w:p w14:paraId="097EC969" w14:textId="77777777" w:rsidR="00DA28EB" w:rsidRPr="005D40C5" w:rsidRDefault="00DA28EB" w:rsidP="00F33386">
      <w:pPr>
        <w:pStyle w:val="ColorfulList-Accent11"/>
        <w:numPr>
          <w:ilvl w:val="0"/>
          <w:numId w:val="38"/>
        </w:numPr>
        <w:tabs>
          <w:tab w:val="left" w:pos="810"/>
        </w:tabs>
        <w:spacing w:after="120"/>
        <w:ind w:left="810" w:hanging="270"/>
        <w:jc w:val="both"/>
        <w:rPr>
          <w:i/>
          <w:color w:val="000000"/>
        </w:rPr>
      </w:pPr>
      <w:r w:rsidRPr="005D40C5">
        <w:rPr>
          <w:i/>
          <w:color w:val="000000"/>
        </w:rPr>
        <w:t>Liaise with the Administrative Agent on fund administration issues</w:t>
      </w:r>
      <w:r w:rsidR="004C40C2" w:rsidRPr="005D40C5">
        <w:rPr>
          <w:i/>
          <w:color w:val="000000"/>
        </w:rPr>
        <w:t>, including</w:t>
      </w:r>
      <w:r w:rsidRPr="005D40C5">
        <w:rPr>
          <w:i/>
          <w:color w:val="000000"/>
        </w:rPr>
        <w:t xml:space="preserve"> issues related to project</w:t>
      </w:r>
      <w:r w:rsidR="004C40C2" w:rsidRPr="005D40C5">
        <w:rPr>
          <w:i/>
          <w:color w:val="000000"/>
        </w:rPr>
        <w:t>/</w:t>
      </w:r>
      <w:r w:rsidRPr="005D40C5">
        <w:rPr>
          <w:i/>
          <w:color w:val="000000"/>
        </w:rPr>
        <w:t xml:space="preserve"> fund </w:t>
      </w:r>
      <w:r w:rsidR="004C40C2" w:rsidRPr="005D40C5">
        <w:rPr>
          <w:i/>
          <w:color w:val="000000"/>
        </w:rPr>
        <w:t xml:space="preserve">extensions and project/fund </w:t>
      </w:r>
      <w:r w:rsidRPr="005D40C5">
        <w:rPr>
          <w:i/>
          <w:color w:val="000000"/>
        </w:rPr>
        <w:t>closure.</w:t>
      </w:r>
    </w:p>
    <w:bookmarkEnd w:id="1"/>
    <w:p w14:paraId="097EC96A" w14:textId="77777777" w:rsidR="00436D81" w:rsidRDefault="00436D81" w:rsidP="007413ED">
      <w:pPr>
        <w:jc w:val="both"/>
        <w:rPr>
          <w:b/>
          <w:i/>
        </w:rPr>
      </w:pPr>
    </w:p>
    <w:p w14:paraId="097EC96B" w14:textId="77777777" w:rsidR="007413ED" w:rsidRPr="005D40C5" w:rsidRDefault="007413ED" w:rsidP="007413ED">
      <w:pPr>
        <w:jc w:val="both"/>
        <w:rPr>
          <w:b/>
          <w:i/>
        </w:rPr>
      </w:pPr>
      <w:r w:rsidRPr="005D40C5">
        <w:rPr>
          <w:b/>
          <w:i/>
        </w:rPr>
        <w:t>The Administrative Agent</w:t>
      </w:r>
    </w:p>
    <w:p w14:paraId="097EC96C" w14:textId="77777777" w:rsidR="007413ED" w:rsidRPr="005D40C5" w:rsidRDefault="006B52EB" w:rsidP="007413ED">
      <w:pPr>
        <w:tabs>
          <w:tab w:val="left" w:pos="540"/>
        </w:tabs>
        <w:autoSpaceDE w:val="0"/>
        <w:autoSpaceDN w:val="0"/>
        <w:adjustRightInd w:val="0"/>
        <w:jc w:val="both"/>
        <w:rPr>
          <w:i/>
        </w:rPr>
      </w:pPr>
      <w:r w:rsidRPr="005D40C5">
        <w:rPr>
          <w:noProof/>
          <w:lang w:val="en-IN" w:eastAsia="en-IN"/>
        </w:rPr>
        <w:drawing>
          <wp:anchor distT="0" distB="0" distL="114300" distR="114300" simplePos="0" relativeHeight="251656704" behindDoc="0" locked="0" layoutInCell="1" allowOverlap="1" wp14:anchorId="097EC9EB" wp14:editId="097EC9EC">
            <wp:simplePos x="0" y="0"/>
            <wp:positionH relativeFrom="column">
              <wp:posOffset>3095625</wp:posOffset>
            </wp:positionH>
            <wp:positionV relativeFrom="paragraph">
              <wp:posOffset>28575</wp:posOffset>
            </wp:positionV>
            <wp:extent cx="2828925" cy="4374515"/>
            <wp:effectExtent l="0" t="0" r="9525" b="698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8925" cy="4374515"/>
                    </a:xfrm>
                    <a:prstGeom prst="rect">
                      <a:avLst/>
                    </a:prstGeom>
                    <a:noFill/>
                    <a:ln>
                      <a:noFill/>
                    </a:ln>
                  </pic:spPr>
                </pic:pic>
              </a:graphicData>
            </a:graphic>
            <wp14:sizeRelH relativeFrom="page">
              <wp14:pctWidth>0</wp14:pctWidth>
            </wp14:sizeRelH>
            <wp14:sizeRelV relativeFrom="page">
              <wp14:pctHeight>0</wp14:pctHeight>
            </wp14:sizeRelV>
          </wp:anchor>
        </w:drawing>
      </w:r>
      <w:r w:rsidR="007413ED" w:rsidRPr="005D40C5">
        <w:rPr>
          <w:i/>
          <w:iCs/>
          <w:spacing w:val="-2"/>
        </w:rPr>
        <w:t xml:space="preserve">Description of the responsibilities of the Administrative Agent, as per UNDG “Protocol on the Administrative Agent for Multi-Donor Trust Funds and Joint Programmes, and One UN Funds”. </w:t>
      </w:r>
      <w:r w:rsidR="00784251" w:rsidRPr="005D40C5">
        <w:rPr>
          <w:i/>
        </w:rPr>
        <w:t>W</w:t>
      </w:r>
      <w:r w:rsidR="007413ED" w:rsidRPr="005D40C5">
        <w:rPr>
          <w:i/>
        </w:rPr>
        <w:t xml:space="preserve">here a UN </w:t>
      </w:r>
      <w:r w:rsidR="00784251" w:rsidRPr="005D40C5">
        <w:rPr>
          <w:i/>
        </w:rPr>
        <w:t xml:space="preserve">organization </w:t>
      </w:r>
      <w:r w:rsidR="007413ED" w:rsidRPr="005D40C5">
        <w:rPr>
          <w:i/>
        </w:rPr>
        <w:t xml:space="preserve">is both an AA and a Participating UN Organization, reference to the delineation of roles and responsibilities between the AA </w:t>
      </w:r>
      <w:r w:rsidR="00784251" w:rsidRPr="005D40C5">
        <w:rPr>
          <w:i/>
        </w:rPr>
        <w:t xml:space="preserve">function </w:t>
      </w:r>
      <w:r w:rsidR="007413ED" w:rsidRPr="005D40C5">
        <w:rPr>
          <w:i/>
        </w:rPr>
        <w:t xml:space="preserve">and </w:t>
      </w:r>
      <w:r w:rsidR="00784251" w:rsidRPr="005D40C5">
        <w:rPr>
          <w:i/>
        </w:rPr>
        <w:t>the implementation function</w:t>
      </w:r>
      <w:r w:rsidR="005C634F" w:rsidRPr="005D40C5">
        <w:rPr>
          <w:i/>
        </w:rPr>
        <w:t xml:space="preserve"> should be made</w:t>
      </w:r>
      <w:r w:rsidR="007413ED" w:rsidRPr="005D40C5">
        <w:rPr>
          <w:i/>
        </w:rPr>
        <w:t xml:space="preserve">. The AA will be entitled to allocate an administrative fee of one percent (1%) of the amount contributed by each donor, to meet the costs of performing the AA’s </w:t>
      </w:r>
      <w:r w:rsidR="00766C6A" w:rsidRPr="005D40C5">
        <w:rPr>
          <w:i/>
        </w:rPr>
        <w:t xml:space="preserve">standard </w:t>
      </w:r>
      <w:r w:rsidR="007413ED" w:rsidRPr="005D40C5">
        <w:rPr>
          <w:i/>
        </w:rPr>
        <w:t xml:space="preserve">functions </w:t>
      </w:r>
      <w:r w:rsidR="00766C6A" w:rsidRPr="005D40C5">
        <w:rPr>
          <w:i/>
        </w:rPr>
        <w:t xml:space="preserve">as </w:t>
      </w:r>
      <w:r w:rsidR="007413ED" w:rsidRPr="005D40C5">
        <w:rPr>
          <w:i/>
        </w:rPr>
        <w:t>described in the MOU.</w:t>
      </w:r>
    </w:p>
    <w:p w14:paraId="097EC96D" w14:textId="77777777" w:rsidR="00784251" w:rsidRPr="005D40C5" w:rsidRDefault="00784251" w:rsidP="00784251">
      <w:pPr>
        <w:tabs>
          <w:tab w:val="left" w:pos="426"/>
        </w:tabs>
        <w:spacing w:before="240" w:after="60"/>
        <w:jc w:val="both"/>
        <w:rPr>
          <w:i/>
          <w:lang w:val="en"/>
        </w:rPr>
      </w:pPr>
      <w:r w:rsidRPr="005D40C5">
        <w:rPr>
          <w:i/>
          <w:lang w:val="en"/>
        </w:rPr>
        <w:t xml:space="preserve">The </w:t>
      </w:r>
      <w:r w:rsidR="00766C6A" w:rsidRPr="005D40C5">
        <w:rPr>
          <w:i/>
          <w:lang w:val="en"/>
        </w:rPr>
        <w:t>standard</w:t>
      </w:r>
      <w:r w:rsidRPr="005D40C5">
        <w:rPr>
          <w:i/>
          <w:lang w:val="en"/>
        </w:rPr>
        <w:t xml:space="preserve"> functions include:</w:t>
      </w:r>
    </w:p>
    <w:p w14:paraId="097EC96E" w14:textId="77777777" w:rsidR="00766C6A" w:rsidRPr="005D40C5" w:rsidRDefault="00784251" w:rsidP="00766C6A">
      <w:pPr>
        <w:numPr>
          <w:ilvl w:val="0"/>
          <w:numId w:val="33"/>
        </w:numPr>
        <w:tabs>
          <w:tab w:val="left" w:pos="720"/>
        </w:tabs>
        <w:spacing w:before="240" w:after="60"/>
        <w:ind w:hanging="180"/>
        <w:jc w:val="both"/>
        <w:rPr>
          <w:i/>
        </w:rPr>
      </w:pPr>
      <w:r w:rsidRPr="005D40C5">
        <w:rPr>
          <w:b/>
          <w:i/>
          <w:lang w:val="en"/>
        </w:rPr>
        <w:t xml:space="preserve">Fund </w:t>
      </w:r>
      <w:r w:rsidR="009331E4" w:rsidRPr="005D40C5">
        <w:rPr>
          <w:b/>
          <w:i/>
          <w:lang w:val="en"/>
        </w:rPr>
        <w:t>design</w:t>
      </w:r>
      <w:r w:rsidRPr="005D40C5">
        <w:rPr>
          <w:b/>
          <w:i/>
          <w:lang w:val="en"/>
        </w:rPr>
        <w:t>:</w:t>
      </w:r>
      <w:r w:rsidRPr="005D40C5">
        <w:rPr>
          <w:i/>
          <w:lang w:val="en"/>
        </w:rPr>
        <w:t xml:space="preserve"> </w:t>
      </w:r>
      <w:r w:rsidR="00F33386" w:rsidRPr="005D40C5">
        <w:rPr>
          <w:i/>
          <w:lang w:val="en"/>
        </w:rPr>
        <w:t>Support for developing the Fund concept note and the TOR. This includes notably s</w:t>
      </w:r>
      <w:r w:rsidRPr="005D40C5">
        <w:rPr>
          <w:i/>
          <w:lang w:val="en"/>
        </w:rPr>
        <w:t xml:space="preserve">upport for the design of the </w:t>
      </w:r>
      <w:r w:rsidR="00766C6A" w:rsidRPr="005D40C5">
        <w:rPr>
          <w:i/>
          <w:lang w:val="en"/>
        </w:rPr>
        <w:t>f</w:t>
      </w:r>
      <w:r w:rsidRPr="005D40C5">
        <w:rPr>
          <w:i/>
          <w:lang w:val="en"/>
        </w:rPr>
        <w:t xml:space="preserve">und </w:t>
      </w:r>
      <w:r w:rsidR="00766C6A" w:rsidRPr="005D40C5">
        <w:rPr>
          <w:i/>
          <w:lang w:val="en"/>
        </w:rPr>
        <w:t>a</w:t>
      </w:r>
      <w:r w:rsidRPr="005D40C5">
        <w:rPr>
          <w:i/>
          <w:lang w:val="en"/>
        </w:rPr>
        <w:t>rchitecture (</w:t>
      </w:r>
      <w:r w:rsidR="00766C6A" w:rsidRPr="005D40C5">
        <w:rPr>
          <w:i/>
          <w:lang w:val="en"/>
        </w:rPr>
        <w:t xml:space="preserve">i.e. </w:t>
      </w:r>
      <w:r w:rsidRPr="005D40C5">
        <w:rPr>
          <w:i/>
          <w:lang w:val="en"/>
        </w:rPr>
        <w:t>governance</w:t>
      </w:r>
      <w:r w:rsidR="00766C6A" w:rsidRPr="005D40C5">
        <w:rPr>
          <w:i/>
          <w:lang w:val="en"/>
        </w:rPr>
        <w:t xml:space="preserve"> arrangements</w:t>
      </w:r>
      <w:r w:rsidRPr="005D40C5">
        <w:rPr>
          <w:i/>
          <w:lang w:val="en"/>
        </w:rPr>
        <w:t xml:space="preserve">), the </w:t>
      </w:r>
      <w:r w:rsidR="003F2FE4" w:rsidRPr="005D40C5">
        <w:rPr>
          <w:i/>
          <w:lang w:val="en"/>
        </w:rPr>
        <w:t>preparation</w:t>
      </w:r>
      <w:r w:rsidRPr="005D40C5">
        <w:rPr>
          <w:i/>
          <w:lang w:val="en"/>
        </w:rPr>
        <w:t xml:space="preserve"> of</w:t>
      </w:r>
      <w:r w:rsidR="00E70A58" w:rsidRPr="005D40C5">
        <w:rPr>
          <w:i/>
          <w:lang w:val="en"/>
        </w:rPr>
        <w:t xml:space="preserve"> the</w:t>
      </w:r>
      <w:r w:rsidRPr="005D40C5">
        <w:rPr>
          <w:i/>
          <w:lang w:val="en"/>
        </w:rPr>
        <w:t xml:space="preserve"> legal instruments</w:t>
      </w:r>
      <w:r w:rsidR="00E70A58" w:rsidRPr="005D40C5">
        <w:rPr>
          <w:i/>
          <w:lang w:val="en"/>
        </w:rPr>
        <w:t xml:space="preserve"> based on standard legal agreements</w:t>
      </w:r>
      <w:r w:rsidR="00766C6A" w:rsidRPr="005D40C5">
        <w:rPr>
          <w:i/>
          <w:lang w:val="en"/>
        </w:rPr>
        <w:t>,</w:t>
      </w:r>
      <w:r w:rsidRPr="005D40C5">
        <w:rPr>
          <w:i/>
          <w:lang w:val="en"/>
        </w:rPr>
        <w:t xml:space="preserve"> and the development of </w:t>
      </w:r>
      <w:r w:rsidR="00766C6A" w:rsidRPr="005D40C5">
        <w:rPr>
          <w:i/>
          <w:lang w:val="en"/>
        </w:rPr>
        <w:t xml:space="preserve">a </w:t>
      </w:r>
      <w:r w:rsidRPr="005D40C5">
        <w:rPr>
          <w:i/>
          <w:lang w:val="en"/>
        </w:rPr>
        <w:t xml:space="preserve">logical framework </w:t>
      </w:r>
      <w:r w:rsidR="00766C6A" w:rsidRPr="005D40C5">
        <w:rPr>
          <w:i/>
          <w:lang w:val="en"/>
        </w:rPr>
        <w:t>based on the theory of change</w:t>
      </w:r>
    </w:p>
    <w:p w14:paraId="097EC96F" w14:textId="77777777" w:rsidR="00784251" w:rsidRPr="005D40C5" w:rsidRDefault="00784251" w:rsidP="008D7C9E">
      <w:pPr>
        <w:numPr>
          <w:ilvl w:val="0"/>
          <w:numId w:val="33"/>
        </w:numPr>
        <w:tabs>
          <w:tab w:val="left" w:pos="720"/>
        </w:tabs>
        <w:spacing w:before="240" w:after="60"/>
        <w:jc w:val="both"/>
        <w:rPr>
          <w:i/>
        </w:rPr>
      </w:pPr>
      <w:r w:rsidRPr="005D40C5">
        <w:rPr>
          <w:b/>
          <w:i/>
          <w:lang w:val="en"/>
        </w:rPr>
        <w:t>Fund administration:</w:t>
      </w:r>
      <w:r w:rsidRPr="005D40C5">
        <w:rPr>
          <w:i/>
          <w:lang w:val="en"/>
        </w:rPr>
        <w:t xml:space="preserve"> </w:t>
      </w:r>
      <w:r w:rsidR="008D7C9E" w:rsidRPr="005D40C5">
        <w:rPr>
          <w:i/>
          <w:lang w:val="en"/>
        </w:rPr>
        <w:t xml:space="preserve">The Administrative Agent will conclude a Memorandum of Understanding (MOU) with the Participating UN Organisations and Standard Administrative Arrangements (SAAs) with contributing partners.  </w:t>
      </w:r>
      <w:r w:rsidRPr="005D40C5">
        <w:rPr>
          <w:i/>
          <w:lang w:val="en"/>
        </w:rPr>
        <w:t>Rece</w:t>
      </w:r>
      <w:r w:rsidR="00CA7796" w:rsidRPr="005D40C5">
        <w:rPr>
          <w:i/>
          <w:lang w:val="en"/>
        </w:rPr>
        <w:t>i</w:t>
      </w:r>
      <w:r w:rsidRPr="005D40C5">
        <w:rPr>
          <w:i/>
          <w:lang w:val="en"/>
        </w:rPr>
        <w:t>pt, administration</w:t>
      </w:r>
      <w:r w:rsidR="00766C6A" w:rsidRPr="005D40C5">
        <w:rPr>
          <w:i/>
          <w:lang w:val="en"/>
        </w:rPr>
        <w:t>,</w:t>
      </w:r>
      <w:r w:rsidRPr="005D40C5">
        <w:rPr>
          <w:i/>
          <w:lang w:val="en"/>
        </w:rPr>
        <w:t xml:space="preserve"> and disbursement of funds to the participating organizations according to the instructions of the Steering Committee, financi</w:t>
      </w:r>
      <w:r w:rsidR="00A47B7D" w:rsidRPr="005D40C5">
        <w:rPr>
          <w:i/>
          <w:lang w:val="en"/>
        </w:rPr>
        <w:t xml:space="preserve">al reporting and consolidation. </w:t>
      </w:r>
      <w:r w:rsidR="00A47B7D" w:rsidRPr="005D40C5">
        <w:rPr>
          <w:i/>
        </w:rPr>
        <w:t xml:space="preserve">The Administrative Agent will disburse funds to the Secretariat for direct costs based on the decision of the </w:t>
      </w:r>
      <w:r w:rsidR="00170BDA" w:rsidRPr="005D40C5">
        <w:rPr>
          <w:i/>
        </w:rPr>
        <w:t>Steering Committee</w:t>
      </w:r>
      <w:r w:rsidR="00A47B7D" w:rsidRPr="005D40C5">
        <w:rPr>
          <w:i/>
        </w:rPr>
        <w:t xml:space="preserve">. On an annual basis, the Administrative Agent will notify the </w:t>
      </w:r>
      <w:r w:rsidR="005C634F" w:rsidRPr="005D40C5">
        <w:rPr>
          <w:i/>
        </w:rPr>
        <w:t>Steering Committee</w:t>
      </w:r>
      <w:r w:rsidR="00A47B7D" w:rsidRPr="005D40C5">
        <w:rPr>
          <w:i/>
        </w:rPr>
        <w:t xml:space="preserve"> of the amounts used for such purposes.</w:t>
      </w:r>
      <w:r w:rsidR="00B339D8" w:rsidRPr="005D40C5">
        <w:t xml:space="preserve"> </w:t>
      </w:r>
    </w:p>
    <w:p w14:paraId="097EC970" w14:textId="77777777" w:rsidR="00B339D8" w:rsidRPr="005D40C5" w:rsidRDefault="00B339D8" w:rsidP="00B339D8">
      <w:pPr>
        <w:tabs>
          <w:tab w:val="left" w:pos="540"/>
          <w:tab w:val="left" w:pos="1080"/>
        </w:tabs>
        <w:jc w:val="both"/>
        <w:rPr>
          <w:b/>
          <w:i/>
        </w:rPr>
      </w:pPr>
      <w:r w:rsidRPr="005D40C5">
        <w:rPr>
          <w:b/>
          <w:i/>
        </w:rPr>
        <w:t>The Participating UN Organisations</w:t>
      </w:r>
    </w:p>
    <w:p w14:paraId="097EC971" w14:textId="77777777" w:rsidR="00B339D8" w:rsidRPr="005D40C5" w:rsidRDefault="00B339D8" w:rsidP="007413ED">
      <w:pPr>
        <w:tabs>
          <w:tab w:val="left" w:pos="540"/>
        </w:tabs>
        <w:autoSpaceDE w:val="0"/>
        <w:autoSpaceDN w:val="0"/>
        <w:adjustRightInd w:val="0"/>
        <w:jc w:val="both"/>
        <w:rPr>
          <w:i/>
        </w:rPr>
      </w:pPr>
      <w:r w:rsidRPr="005D40C5">
        <w:rPr>
          <w:i/>
        </w:rPr>
        <w:t>Role of PUNO should be explained, including standard language on accepting full financial and programmatic accountability for their programmes; reference to UN values, norms and standards and subsequent need to apply programmatic safeguards (e.g. social &amp; environmental screening).</w:t>
      </w:r>
    </w:p>
    <w:p w14:paraId="097EC972" w14:textId="77777777" w:rsidR="00F33386" w:rsidRPr="005D40C5" w:rsidRDefault="00B339D8" w:rsidP="007413ED">
      <w:pPr>
        <w:tabs>
          <w:tab w:val="left" w:pos="540"/>
        </w:tabs>
        <w:autoSpaceDE w:val="0"/>
        <w:autoSpaceDN w:val="0"/>
        <w:adjustRightInd w:val="0"/>
        <w:jc w:val="both"/>
        <w:rPr>
          <w:i/>
        </w:rPr>
      </w:pPr>
      <w:r w:rsidRPr="005D40C5">
        <w:rPr>
          <w:i/>
        </w:rPr>
        <w:t xml:space="preserve"> </w:t>
      </w:r>
    </w:p>
    <w:p w14:paraId="097EC973" w14:textId="77777777" w:rsidR="003C08D1" w:rsidRPr="005D40C5" w:rsidRDefault="003C08D1" w:rsidP="003C08D1">
      <w:pPr>
        <w:tabs>
          <w:tab w:val="left" w:pos="540"/>
          <w:tab w:val="left" w:pos="864"/>
          <w:tab w:val="left" w:pos="1584"/>
          <w:tab w:val="left" w:pos="2304"/>
        </w:tabs>
        <w:suppressAutoHyphens/>
        <w:jc w:val="center"/>
        <w:rPr>
          <w:b/>
          <w:bCs/>
          <w:iCs/>
          <w:spacing w:val="-2"/>
          <w:u w:val="single"/>
        </w:rPr>
      </w:pPr>
      <w:r w:rsidRPr="005D40C5">
        <w:rPr>
          <w:b/>
          <w:bCs/>
          <w:iCs/>
          <w:spacing w:val="-2"/>
          <w:u w:val="single"/>
        </w:rPr>
        <w:t>V. Fund Implementation</w:t>
      </w:r>
    </w:p>
    <w:p w14:paraId="097EC974" w14:textId="77777777" w:rsidR="00CA7796" w:rsidRPr="00535E48" w:rsidRDefault="00F33386" w:rsidP="00CA7796">
      <w:pPr>
        <w:jc w:val="both"/>
        <w:rPr>
          <w:i/>
          <w:lang w:val="en"/>
        </w:rPr>
      </w:pPr>
      <w:r w:rsidRPr="005D40C5">
        <w:rPr>
          <w:i/>
          <w:lang w:val="en"/>
        </w:rPr>
        <w:t>In m</w:t>
      </w:r>
      <w:r w:rsidR="00012485" w:rsidRPr="005D40C5">
        <w:rPr>
          <w:i/>
          <w:lang w:val="en"/>
        </w:rPr>
        <w:t>any MDTFs</w:t>
      </w:r>
      <w:r w:rsidRPr="005D40C5">
        <w:rPr>
          <w:i/>
          <w:lang w:val="en"/>
        </w:rPr>
        <w:t>,</w:t>
      </w:r>
      <w:r w:rsidR="00012485" w:rsidRPr="005D40C5">
        <w:rPr>
          <w:i/>
          <w:lang w:val="en"/>
        </w:rPr>
        <w:t xml:space="preserve"> fund implementation is limited to UN organisations. However, a UNDG MDTF can also be designed as part of</w:t>
      </w:r>
      <w:r w:rsidRPr="005D40C5">
        <w:rPr>
          <w:i/>
          <w:lang w:val="en"/>
        </w:rPr>
        <w:t xml:space="preserve"> a multi-window set-up, with </w:t>
      </w:r>
      <w:r w:rsidR="00E11E57" w:rsidRPr="005D40C5">
        <w:rPr>
          <w:i/>
          <w:lang w:val="en"/>
        </w:rPr>
        <w:t xml:space="preserve">several windows of implementation. This architecture enables the various stakeholders to operate under a common strategic governance structure, but according </w:t>
      </w:r>
      <w:r w:rsidR="00E11E57" w:rsidRPr="00535E48">
        <w:rPr>
          <w:i/>
          <w:lang w:val="en"/>
        </w:rPr>
        <w:t xml:space="preserve">to their individual policies and procedures </w:t>
      </w:r>
    </w:p>
    <w:p w14:paraId="097EC975" w14:textId="77777777" w:rsidR="00E11E57" w:rsidRPr="00535E48" w:rsidRDefault="005C634F" w:rsidP="00CA7796">
      <w:pPr>
        <w:jc w:val="both"/>
        <w:rPr>
          <w:i/>
          <w:lang w:val="en"/>
        </w:rPr>
      </w:pPr>
      <w:r w:rsidRPr="00535E48">
        <w:rPr>
          <w:rFonts w:asciiTheme="majorHAnsi" w:hAnsiTheme="majorHAnsi"/>
          <w:i/>
          <w:lang w:val="en"/>
        </w:rPr>
        <w:t xml:space="preserve">In addition to a </w:t>
      </w:r>
      <w:r w:rsidR="00E11E57" w:rsidRPr="00535E48">
        <w:rPr>
          <w:rFonts w:asciiTheme="majorHAnsi" w:hAnsiTheme="majorHAnsi"/>
          <w:i/>
          <w:lang w:val="en"/>
        </w:rPr>
        <w:t>United Nations window</w:t>
      </w:r>
      <w:r w:rsidRPr="00535E48">
        <w:rPr>
          <w:rFonts w:asciiTheme="majorHAnsi" w:hAnsiTheme="majorHAnsi"/>
          <w:i/>
          <w:lang w:val="en"/>
        </w:rPr>
        <w:t xml:space="preserve"> (</w:t>
      </w:r>
      <w:r w:rsidR="00012485" w:rsidRPr="00535E48">
        <w:rPr>
          <w:rFonts w:asciiTheme="majorHAnsi" w:hAnsiTheme="majorHAnsi"/>
          <w:i/>
          <w:lang w:val="en"/>
        </w:rPr>
        <w:t>with funding allocated to</w:t>
      </w:r>
      <w:r w:rsidR="00F33386" w:rsidRPr="00535E48">
        <w:rPr>
          <w:rFonts w:asciiTheme="majorHAnsi" w:hAnsiTheme="majorHAnsi"/>
          <w:i/>
          <w:lang w:val="en"/>
        </w:rPr>
        <w:t xml:space="preserve"> </w:t>
      </w:r>
      <w:r w:rsidR="00E11E57" w:rsidRPr="00535E48">
        <w:rPr>
          <w:rFonts w:asciiTheme="majorHAnsi" w:hAnsiTheme="majorHAnsi"/>
          <w:i/>
          <w:lang w:val="en"/>
        </w:rPr>
        <w:t xml:space="preserve">UN Agencies and </w:t>
      </w:r>
      <w:r w:rsidR="00415046" w:rsidRPr="00535E48">
        <w:rPr>
          <w:rFonts w:asciiTheme="majorHAnsi" w:hAnsiTheme="majorHAnsi"/>
          <w:i/>
          <w:lang w:val="en"/>
        </w:rPr>
        <w:t>n</w:t>
      </w:r>
      <w:r w:rsidR="005516BF" w:rsidRPr="00535E48">
        <w:rPr>
          <w:rFonts w:asciiTheme="majorHAnsi" w:hAnsiTheme="majorHAnsi"/>
          <w:i/>
        </w:rPr>
        <w:t xml:space="preserve">on-UN entities having concluded </w:t>
      </w:r>
      <w:r w:rsidR="00415046" w:rsidRPr="00535E48">
        <w:rPr>
          <w:rFonts w:asciiTheme="majorHAnsi" w:hAnsiTheme="majorHAnsi"/>
          <w:i/>
        </w:rPr>
        <w:t>the</w:t>
      </w:r>
      <w:r w:rsidR="005516BF" w:rsidRPr="00535E48">
        <w:rPr>
          <w:rFonts w:asciiTheme="majorHAnsi" w:hAnsiTheme="majorHAnsi"/>
          <w:i/>
        </w:rPr>
        <w:t xml:space="preserve"> separate </w:t>
      </w:r>
      <w:hyperlink r:id="rId10" w:history="1">
        <w:r w:rsidR="005516BF" w:rsidRPr="00535E48">
          <w:rPr>
            <w:rStyle w:val="Hyperlink"/>
            <w:rFonts w:asciiTheme="majorHAnsi" w:hAnsiTheme="majorHAnsi"/>
            <w:i/>
            <w:color w:val="auto"/>
            <w:u w:val="none"/>
          </w:rPr>
          <w:t>MOU for Non-UN Participating Organizations</w:t>
        </w:r>
      </w:hyperlink>
      <w:r w:rsidR="005516BF" w:rsidRPr="00535E48">
        <w:rPr>
          <w:rStyle w:val="Hyperlink"/>
          <w:rFonts w:asciiTheme="majorHAnsi" w:hAnsiTheme="majorHAnsi"/>
          <w:i/>
          <w:color w:val="auto"/>
          <w:u w:val="none"/>
        </w:rPr>
        <w:t>)</w:t>
      </w:r>
      <w:r w:rsidRPr="00535E48">
        <w:rPr>
          <w:rFonts w:asciiTheme="majorHAnsi" w:hAnsiTheme="majorHAnsi"/>
          <w:i/>
          <w:lang w:val="en"/>
        </w:rPr>
        <w:t xml:space="preserve">, </w:t>
      </w:r>
      <w:r w:rsidR="008D7C9E" w:rsidRPr="00535E48">
        <w:rPr>
          <w:rFonts w:asciiTheme="majorHAnsi" w:hAnsiTheme="majorHAnsi"/>
          <w:i/>
          <w:lang w:val="en"/>
        </w:rPr>
        <w:t xml:space="preserve">a Fund could </w:t>
      </w:r>
      <w:r w:rsidR="00B54DE1" w:rsidRPr="00535E48">
        <w:rPr>
          <w:rFonts w:asciiTheme="majorHAnsi" w:hAnsiTheme="majorHAnsi"/>
          <w:i/>
          <w:lang w:val="en"/>
        </w:rPr>
        <w:t xml:space="preserve">also </w:t>
      </w:r>
      <w:r w:rsidR="008D7C9E" w:rsidRPr="00535E48">
        <w:rPr>
          <w:rFonts w:asciiTheme="majorHAnsi" w:hAnsiTheme="majorHAnsi"/>
          <w:i/>
          <w:lang w:val="en"/>
        </w:rPr>
        <w:t xml:space="preserve">include </w:t>
      </w:r>
      <w:r w:rsidRPr="00535E48">
        <w:rPr>
          <w:rFonts w:asciiTheme="majorHAnsi" w:hAnsiTheme="majorHAnsi"/>
          <w:i/>
          <w:lang w:val="en"/>
        </w:rPr>
        <w:t>a government w</w:t>
      </w:r>
      <w:r w:rsidR="00E11E57" w:rsidRPr="00535E48">
        <w:rPr>
          <w:rFonts w:asciiTheme="majorHAnsi" w:hAnsiTheme="majorHAnsi"/>
          <w:i/>
          <w:lang w:val="en"/>
        </w:rPr>
        <w:t>indow</w:t>
      </w:r>
      <w:r w:rsidR="00E415FC" w:rsidRPr="00535E48">
        <w:rPr>
          <w:rFonts w:asciiTheme="majorHAnsi" w:hAnsiTheme="majorHAnsi"/>
          <w:i/>
          <w:lang w:val="en"/>
        </w:rPr>
        <w:t>, a</w:t>
      </w:r>
      <w:r w:rsidR="00583B57" w:rsidRPr="00535E48">
        <w:rPr>
          <w:rFonts w:asciiTheme="majorHAnsi" w:hAnsiTheme="majorHAnsi"/>
          <w:i/>
          <w:lang w:val="en"/>
        </w:rPr>
        <w:t>n</w:t>
      </w:r>
      <w:r w:rsidRPr="00535E48">
        <w:rPr>
          <w:rFonts w:asciiTheme="majorHAnsi" w:hAnsiTheme="majorHAnsi"/>
          <w:i/>
          <w:lang w:val="en"/>
        </w:rPr>
        <w:t xml:space="preserve"> </w:t>
      </w:r>
      <w:r w:rsidR="00EC2317" w:rsidRPr="00535E48">
        <w:rPr>
          <w:rFonts w:asciiTheme="majorHAnsi" w:hAnsiTheme="majorHAnsi"/>
          <w:i/>
          <w:lang w:val="en"/>
        </w:rPr>
        <w:t>IFI window</w:t>
      </w:r>
      <w:r w:rsidR="00583B57" w:rsidRPr="00535E48">
        <w:rPr>
          <w:rFonts w:asciiTheme="majorHAnsi" w:hAnsiTheme="majorHAnsi"/>
          <w:i/>
          <w:lang w:val="en"/>
        </w:rPr>
        <w:t xml:space="preserve"> (or windows)</w:t>
      </w:r>
      <w:r w:rsidR="00EC2317" w:rsidRPr="00535E48">
        <w:rPr>
          <w:rFonts w:asciiTheme="majorHAnsi" w:hAnsiTheme="majorHAnsi"/>
          <w:i/>
          <w:lang w:val="en"/>
        </w:rPr>
        <w:t xml:space="preserve">, </w:t>
      </w:r>
      <w:r w:rsidR="00E415FC" w:rsidRPr="00535E48">
        <w:rPr>
          <w:rFonts w:asciiTheme="majorHAnsi" w:hAnsiTheme="majorHAnsi"/>
          <w:i/>
          <w:lang w:val="en"/>
        </w:rPr>
        <w:t>a</w:t>
      </w:r>
      <w:r w:rsidRPr="00535E48">
        <w:rPr>
          <w:rFonts w:asciiTheme="majorHAnsi" w:hAnsiTheme="majorHAnsi"/>
          <w:i/>
          <w:lang w:val="en"/>
        </w:rPr>
        <w:t xml:space="preserve"> civil society w</w:t>
      </w:r>
      <w:r w:rsidR="00E11E57" w:rsidRPr="00535E48">
        <w:rPr>
          <w:rFonts w:asciiTheme="majorHAnsi" w:hAnsiTheme="majorHAnsi"/>
          <w:i/>
          <w:lang w:val="en"/>
        </w:rPr>
        <w:t>indow</w:t>
      </w:r>
      <w:r w:rsidRPr="00535E48">
        <w:rPr>
          <w:rFonts w:asciiTheme="majorHAnsi" w:hAnsiTheme="majorHAnsi"/>
          <w:i/>
          <w:lang w:val="en"/>
        </w:rPr>
        <w:t xml:space="preserve"> (with</w:t>
      </w:r>
      <w:r w:rsidR="00E11E57" w:rsidRPr="00535E48">
        <w:rPr>
          <w:rFonts w:asciiTheme="majorHAnsi" w:hAnsiTheme="majorHAnsi"/>
          <w:i/>
          <w:lang w:val="en"/>
        </w:rPr>
        <w:t xml:space="preserve"> one of the UN agencies appointed as the Management Agent</w:t>
      </w:r>
      <w:r w:rsidRPr="00535E48">
        <w:rPr>
          <w:i/>
          <w:lang w:val="en"/>
        </w:rPr>
        <w:t xml:space="preserve"> with</w:t>
      </w:r>
      <w:r w:rsidR="00E11E57" w:rsidRPr="00535E48">
        <w:rPr>
          <w:i/>
          <w:lang w:val="en"/>
        </w:rPr>
        <w:t xml:space="preserve"> programmatic and financial account</w:t>
      </w:r>
      <w:r w:rsidRPr="00535E48">
        <w:rPr>
          <w:i/>
          <w:lang w:val="en"/>
        </w:rPr>
        <w:t>ability</w:t>
      </w:r>
      <w:r w:rsidR="00F33386" w:rsidRPr="00535E48">
        <w:rPr>
          <w:i/>
          <w:lang w:val="en"/>
        </w:rPr>
        <w:t xml:space="preserve"> for funding channeled to NGOs</w:t>
      </w:r>
      <w:r w:rsidRPr="00535E48">
        <w:rPr>
          <w:i/>
          <w:lang w:val="en"/>
        </w:rPr>
        <w:t xml:space="preserve">), </w:t>
      </w:r>
      <w:r w:rsidR="008D7C9E" w:rsidRPr="00535E48">
        <w:rPr>
          <w:i/>
          <w:lang w:val="en"/>
        </w:rPr>
        <w:t>and/</w:t>
      </w:r>
      <w:r w:rsidRPr="00535E48">
        <w:rPr>
          <w:i/>
          <w:lang w:val="en"/>
        </w:rPr>
        <w:t>or an international cooperation agencies window.</w:t>
      </w:r>
    </w:p>
    <w:p w14:paraId="097EC976" w14:textId="77777777" w:rsidR="00CA7796" w:rsidRPr="005D40C5" w:rsidRDefault="00E11E57" w:rsidP="00CA7796">
      <w:pPr>
        <w:jc w:val="both"/>
        <w:rPr>
          <w:b/>
          <w:i/>
          <w:lang w:val="en"/>
        </w:rPr>
      </w:pPr>
      <w:r w:rsidRPr="00535E48">
        <w:rPr>
          <w:b/>
          <w:i/>
          <w:lang w:val="en"/>
        </w:rPr>
        <w:t>P</w:t>
      </w:r>
      <w:r w:rsidR="00A80FEC" w:rsidRPr="00535E48">
        <w:rPr>
          <w:b/>
          <w:i/>
          <w:lang w:val="en"/>
        </w:rPr>
        <w:t>roject Approval Cycle</w:t>
      </w:r>
    </w:p>
    <w:p w14:paraId="097EC977" w14:textId="77777777" w:rsidR="00C9494A" w:rsidRPr="005D40C5" w:rsidRDefault="0061376F" w:rsidP="00CA7796">
      <w:pPr>
        <w:jc w:val="both"/>
        <w:rPr>
          <w:i/>
          <w:lang w:val="en"/>
        </w:rPr>
      </w:pPr>
      <w:r w:rsidRPr="005D40C5">
        <w:rPr>
          <w:i/>
          <w:lang w:val="en"/>
        </w:rPr>
        <w:t>This section el</w:t>
      </w:r>
      <w:r w:rsidR="00D730B6" w:rsidRPr="005D40C5">
        <w:rPr>
          <w:i/>
          <w:lang w:val="en"/>
        </w:rPr>
        <w:t>aborates on the process for the approval of projects</w:t>
      </w:r>
      <w:r w:rsidR="00DF31D6" w:rsidRPr="005D40C5">
        <w:rPr>
          <w:rStyle w:val="FootnoteReference"/>
          <w:i/>
          <w:lang w:val="en"/>
        </w:rPr>
        <w:footnoteReference w:id="4"/>
      </w:r>
      <w:r w:rsidR="00D730B6" w:rsidRPr="005D40C5">
        <w:rPr>
          <w:i/>
          <w:lang w:val="en"/>
        </w:rPr>
        <w:t xml:space="preserve"> submitted for funding</w:t>
      </w:r>
      <w:r w:rsidR="00E70A58" w:rsidRPr="005D40C5">
        <w:rPr>
          <w:i/>
          <w:lang w:val="en"/>
        </w:rPr>
        <w:t xml:space="preserve"> by eligible fund implementers, as defined in the fund implementation section</w:t>
      </w:r>
      <w:r w:rsidR="00E415FC">
        <w:rPr>
          <w:i/>
          <w:lang w:val="en"/>
        </w:rPr>
        <w:t>.</w:t>
      </w:r>
      <w:r w:rsidR="00D730B6" w:rsidRPr="005D40C5">
        <w:rPr>
          <w:i/>
          <w:lang w:val="en"/>
        </w:rPr>
        <w:t xml:space="preserve"> </w:t>
      </w:r>
      <w:r w:rsidRPr="005D40C5">
        <w:rPr>
          <w:i/>
          <w:lang w:val="en"/>
        </w:rPr>
        <w:t>Typical s</w:t>
      </w:r>
      <w:r w:rsidR="00DF1F2C" w:rsidRPr="005D40C5">
        <w:rPr>
          <w:i/>
          <w:lang w:val="en"/>
        </w:rPr>
        <w:t>t</w:t>
      </w:r>
      <w:r w:rsidRPr="005D40C5">
        <w:rPr>
          <w:i/>
          <w:lang w:val="en"/>
        </w:rPr>
        <w:t>e</w:t>
      </w:r>
      <w:r w:rsidR="00DF1F2C" w:rsidRPr="005D40C5">
        <w:rPr>
          <w:i/>
          <w:lang w:val="en"/>
        </w:rPr>
        <w:t>ps in the project approval cycle are submission, independent review/assessment, and fund allocation, which depending on the size and complexity of the Fund can comprise several steps. Depending on need, a “regular cycle” (usually with explicit approval) or “fast</w:t>
      </w:r>
      <w:r w:rsidR="00170BDA" w:rsidRPr="005D40C5">
        <w:rPr>
          <w:i/>
          <w:lang w:val="en"/>
        </w:rPr>
        <w:t>-track</w:t>
      </w:r>
      <w:r w:rsidR="00DF1F2C" w:rsidRPr="005D40C5">
        <w:rPr>
          <w:i/>
          <w:lang w:val="en"/>
        </w:rPr>
        <w:t xml:space="preserve"> cycle” (non-objection basis) can be established</w:t>
      </w:r>
      <w:r w:rsidR="00170BDA" w:rsidRPr="005D40C5">
        <w:rPr>
          <w:i/>
          <w:lang w:val="en"/>
        </w:rPr>
        <w:t>.</w:t>
      </w:r>
      <w:r w:rsidR="00DF31D6" w:rsidRPr="005D40C5">
        <w:rPr>
          <w:i/>
          <w:lang w:val="en"/>
        </w:rPr>
        <w:t xml:space="preserve"> </w:t>
      </w:r>
      <w:r w:rsidR="00170BDA" w:rsidRPr="005D40C5">
        <w:rPr>
          <w:i/>
          <w:lang w:val="en"/>
        </w:rPr>
        <w:t>A</w:t>
      </w:r>
      <w:r w:rsidR="00DF1F2C" w:rsidRPr="005D40C5">
        <w:rPr>
          <w:i/>
          <w:lang w:val="en"/>
        </w:rPr>
        <w:t xml:space="preserve"> portfolio approach instead of individual projects being submitted</w:t>
      </w:r>
      <w:r w:rsidR="00170BDA" w:rsidRPr="005D40C5">
        <w:rPr>
          <w:i/>
          <w:lang w:val="en"/>
        </w:rPr>
        <w:t xml:space="preserve"> can be also considered</w:t>
      </w:r>
      <w:r w:rsidR="00DF1F2C" w:rsidRPr="005D40C5">
        <w:rPr>
          <w:i/>
          <w:lang w:val="en"/>
        </w:rPr>
        <w:t>.</w:t>
      </w:r>
      <w:r w:rsidR="00FE3D3B" w:rsidRPr="005D40C5">
        <w:rPr>
          <w:i/>
          <w:lang w:val="en"/>
        </w:rPr>
        <w:t xml:space="preserve"> </w:t>
      </w:r>
    </w:p>
    <w:p w14:paraId="097EC978" w14:textId="77777777" w:rsidR="00E11E57" w:rsidRPr="005D40C5" w:rsidRDefault="00E11E57" w:rsidP="00E11E57">
      <w:pPr>
        <w:rPr>
          <w:b/>
          <w:i/>
          <w:lang w:val="en"/>
        </w:rPr>
      </w:pPr>
      <w:r w:rsidRPr="005D40C5">
        <w:rPr>
          <w:b/>
          <w:i/>
          <w:lang w:val="en"/>
        </w:rPr>
        <w:t>R</w:t>
      </w:r>
      <w:r w:rsidR="00A80FEC" w:rsidRPr="005D40C5">
        <w:rPr>
          <w:b/>
          <w:i/>
          <w:lang w:val="en"/>
        </w:rPr>
        <w:t>isk Management</w:t>
      </w:r>
      <w:r w:rsidR="00154CB6" w:rsidRPr="005D40C5">
        <w:rPr>
          <w:rStyle w:val="FootnoteReference"/>
          <w:b/>
          <w:i/>
          <w:lang w:val="en"/>
        </w:rPr>
        <w:footnoteReference w:id="5"/>
      </w:r>
    </w:p>
    <w:p w14:paraId="097EC979" w14:textId="77777777" w:rsidR="00295AA1" w:rsidRPr="005D40C5" w:rsidRDefault="00154CB6" w:rsidP="00E11E57">
      <w:pPr>
        <w:pStyle w:val="Body"/>
        <w:rPr>
          <w:i/>
        </w:rPr>
      </w:pPr>
      <w:r w:rsidRPr="005D40C5">
        <w:rPr>
          <w:i/>
        </w:rPr>
        <w:t xml:space="preserve">MDTFs </w:t>
      </w:r>
      <w:r w:rsidR="00295AA1" w:rsidRPr="005D40C5">
        <w:rPr>
          <w:i/>
        </w:rPr>
        <w:t xml:space="preserve">implicitly represent an element of risk sharing among all stakeholders, can </w:t>
      </w:r>
      <w:r w:rsidRPr="005D40C5">
        <w:rPr>
          <w:i/>
        </w:rPr>
        <w:t>assist in establishing a common understanding of risks, and</w:t>
      </w:r>
      <w:r w:rsidR="00295AA1" w:rsidRPr="005D40C5">
        <w:rPr>
          <w:i/>
        </w:rPr>
        <w:t xml:space="preserve"> can provide more efficiently</w:t>
      </w:r>
      <w:r w:rsidR="005D061D" w:rsidRPr="005D40C5">
        <w:rPr>
          <w:i/>
        </w:rPr>
        <w:t xml:space="preserve"> and strategically</w:t>
      </w:r>
      <w:r w:rsidR="00295AA1" w:rsidRPr="005D40C5">
        <w:rPr>
          <w:i/>
        </w:rPr>
        <w:t xml:space="preserve"> for </w:t>
      </w:r>
      <w:r w:rsidRPr="005D40C5">
        <w:rPr>
          <w:i/>
        </w:rPr>
        <w:t xml:space="preserve">risk mitigation </w:t>
      </w:r>
      <w:r w:rsidR="00012485" w:rsidRPr="005D40C5">
        <w:rPr>
          <w:i/>
        </w:rPr>
        <w:t xml:space="preserve">and adaptation </w:t>
      </w:r>
      <w:r w:rsidRPr="005D40C5">
        <w:rPr>
          <w:i/>
        </w:rPr>
        <w:t>measures</w:t>
      </w:r>
      <w:r w:rsidR="00295AA1" w:rsidRPr="005D40C5">
        <w:rPr>
          <w:i/>
        </w:rPr>
        <w:t>. Risk sharing is a key element of the due diligence and operationalization of the fund, and it is understood that the residual risk is shared among all stakeholders.</w:t>
      </w:r>
    </w:p>
    <w:p w14:paraId="097EC97A" w14:textId="77777777" w:rsidR="00E11E57" w:rsidRPr="005D40C5" w:rsidRDefault="00295AA1" w:rsidP="005D061D">
      <w:pPr>
        <w:pStyle w:val="Body"/>
        <w:rPr>
          <w:i/>
        </w:rPr>
      </w:pPr>
      <w:r w:rsidRPr="005D40C5">
        <w:rPr>
          <w:i/>
        </w:rPr>
        <w:t>Three types of risks – contextual, programmatic, and institutional – should be considered and provisions for the identification, monitoring, tolerances, and risk responses should be considered</w:t>
      </w:r>
      <w:r w:rsidR="005D061D" w:rsidRPr="005D40C5">
        <w:rPr>
          <w:i/>
        </w:rPr>
        <w:t xml:space="preserve"> and vested as part of the fund risk management s</w:t>
      </w:r>
      <w:r w:rsidR="00E11E57" w:rsidRPr="005D40C5">
        <w:rPr>
          <w:i/>
        </w:rPr>
        <w:t>trategy</w:t>
      </w:r>
      <w:r w:rsidR="005D061D" w:rsidRPr="005D40C5">
        <w:rPr>
          <w:i/>
        </w:rPr>
        <w:t xml:space="preserve">. Allocation criteria, including thematic priorities and project partner selection criteria, should reflect the fund’s risk management strategy in order to </w:t>
      </w:r>
      <w:r w:rsidR="00E11E57" w:rsidRPr="005D40C5">
        <w:rPr>
          <w:i/>
        </w:rPr>
        <w:t>accelerate delivery and increase fund impact,</w:t>
      </w:r>
      <w:r w:rsidR="005D061D" w:rsidRPr="005D40C5">
        <w:rPr>
          <w:i/>
        </w:rPr>
        <w:t xml:space="preserve"> and to</w:t>
      </w:r>
      <w:r w:rsidR="00E11E57" w:rsidRPr="005D40C5">
        <w:rPr>
          <w:i/>
        </w:rPr>
        <w:t xml:space="preserve"> ensure that fund operations ‘</w:t>
      </w:r>
      <w:r w:rsidR="00E11E57" w:rsidRPr="005D40C5">
        <w:rPr>
          <w:i/>
          <w:lang w:val="pt-PT"/>
        </w:rPr>
        <w:t>do no harm</w:t>
      </w:r>
      <w:r w:rsidR="00E11E57" w:rsidRPr="005D40C5">
        <w:rPr>
          <w:i/>
        </w:rPr>
        <w:t>’ and are used for their intended purpose.</w:t>
      </w:r>
    </w:p>
    <w:p w14:paraId="097EC97B" w14:textId="77777777" w:rsidR="006B52EB" w:rsidRPr="005D40C5" w:rsidRDefault="006B52EB" w:rsidP="005D061D">
      <w:pPr>
        <w:pStyle w:val="Body"/>
        <w:rPr>
          <w:i/>
        </w:rPr>
      </w:pPr>
    </w:p>
    <w:p w14:paraId="097EC97C" w14:textId="77777777" w:rsidR="00E11E57" w:rsidRPr="005D40C5" w:rsidRDefault="00E11E57" w:rsidP="00E11E57">
      <w:pPr>
        <w:pStyle w:val="Body"/>
        <w:widowControl w:val="0"/>
        <w:rPr>
          <w:i/>
          <w:iCs/>
        </w:rPr>
      </w:pPr>
      <w:r w:rsidRPr="005D40C5">
        <w:rPr>
          <w:i/>
          <w:iCs/>
        </w:rPr>
        <w:t>Figure 3: Risk ranking matrix (sample to be adjusted)</w:t>
      </w:r>
    </w:p>
    <w:tbl>
      <w:tblPr>
        <w:tblW w:w="4854" w:type="pct"/>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68"/>
        <w:gridCol w:w="1352"/>
        <w:gridCol w:w="1490"/>
        <w:gridCol w:w="1490"/>
        <w:gridCol w:w="1490"/>
        <w:gridCol w:w="1490"/>
        <w:gridCol w:w="1489"/>
      </w:tblGrid>
      <w:tr w:rsidR="001474B8" w:rsidRPr="005D40C5" w14:paraId="097EC97F" w14:textId="77777777" w:rsidTr="001833C1">
        <w:trPr>
          <w:trHeight w:val="226"/>
        </w:trPr>
        <w:tc>
          <w:tcPr>
            <w:tcW w:w="981" w:type="pct"/>
            <w:gridSpan w:val="2"/>
            <w:vMerge w:val="restart"/>
            <w:tcBorders>
              <w:top w:val="single" w:sz="4" w:space="0" w:color="000000"/>
              <w:left w:val="single" w:sz="4" w:space="0" w:color="000000"/>
              <w:right w:val="single" w:sz="4" w:space="0" w:color="000000"/>
            </w:tcBorders>
          </w:tcPr>
          <w:p w14:paraId="097EC97D" w14:textId="77777777" w:rsidR="00DE7F8D" w:rsidRPr="005D40C5" w:rsidRDefault="00DE7F8D" w:rsidP="001474B8">
            <w:pPr>
              <w:pStyle w:val="Body"/>
              <w:spacing w:after="0" w:line="240" w:lineRule="auto"/>
              <w:jc w:val="center"/>
              <w:rPr>
                <w:b/>
                <w:bCs/>
                <w:color w:val="auto"/>
                <w:sz w:val="16"/>
                <w:szCs w:val="16"/>
                <w:u w:color="FFFFFF"/>
              </w:rPr>
            </w:pPr>
          </w:p>
        </w:tc>
        <w:tc>
          <w:tcPr>
            <w:tcW w:w="4019" w:type="pct"/>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EC97E" w14:textId="77777777" w:rsidR="00DE7F8D" w:rsidRPr="005D40C5" w:rsidRDefault="00DE7F8D" w:rsidP="001474B8">
            <w:pPr>
              <w:pStyle w:val="Body"/>
              <w:spacing w:after="0" w:line="240" w:lineRule="auto"/>
              <w:jc w:val="center"/>
              <w:rPr>
                <w:b/>
                <w:bCs/>
                <w:color w:val="auto"/>
                <w:sz w:val="16"/>
                <w:szCs w:val="16"/>
                <w:u w:color="FFFFFF"/>
              </w:rPr>
            </w:pPr>
            <w:r w:rsidRPr="005D40C5">
              <w:rPr>
                <w:b/>
                <w:bCs/>
                <w:color w:val="auto"/>
                <w:sz w:val="20"/>
                <w:szCs w:val="16"/>
                <w:u w:color="FFFFFF"/>
              </w:rPr>
              <w:t>Consequences</w:t>
            </w:r>
          </w:p>
        </w:tc>
      </w:tr>
      <w:tr w:rsidR="001474B8" w:rsidRPr="005D40C5" w14:paraId="097EC986" w14:textId="77777777" w:rsidTr="001833C1">
        <w:trPr>
          <w:trHeight w:val="226"/>
        </w:trPr>
        <w:tc>
          <w:tcPr>
            <w:tcW w:w="981" w:type="pct"/>
            <w:gridSpan w:val="2"/>
            <w:vMerge/>
            <w:tcBorders>
              <w:left w:val="single" w:sz="4" w:space="0" w:color="000000"/>
              <w:bottom w:val="single" w:sz="4" w:space="0" w:color="000000"/>
              <w:right w:val="single" w:sz="4" w:space="0" w:color="000000"/>
            </w:tcBorders>
          </w:tcPr>
          <w:p w14:paraId="097EC980" w14:textId="77777777" w:rsidR="00DE7F8D" w:rsidRPr="005D40C5" w:rsidRDefault="00DE7F8D" w:rsidP="001474B8">
            <w:pPr>
              <w:pStyle w:val="Body"/>
              <w:spacing w:after="0" w:line="240" w:lineRule="auto"/>
              <w:jc w:val="center"/>
              <w:rPr>
                <w:color w:val="auto"/>
              </w:rPr>
            </w:pPr>
          </w:p>
        </w:tc>
        <w:tc>
          <w:tcPr>
            <w:tcW w:w="8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EC981" w14:textId="77777777" w:rsidR="00DE7F8D" w:rsidRPr="005D40C5" w:rsidRDefault="00DE7F8D" w:rsidP="001474B8">
            <w:pPr>
              <w:pStyle w:val="Body"/>
              <w:spacing w:after="0" w:line="240" w:lineRule="auto"/>
              <w:jc w:val="center"/>
              <w:rPr>
                <w:color w:val="auto"/>
              </w:rPr>
            </w:pPr>
            <w:r w:rsidRPr="005D40C5">
              <w:rPr>
                <w:b/>
                <w:bCs/>
                <w:color w:val="auto"/>
                <w:sz w:val="16"/>
                <w:szCs w:val="16"/>
                <w:u w:color="FFFFFF"/>
              </w:rPr>
              <w:t>Insignificant (1)</w:t>
            </w:r>
          </w:p>
        </w:tc>
        <w:tc>
          <w:tcPr>
            <w:tcW w:w="8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EC982" w14:textId="77777777" w:rsidR="00DE7F8D" w:rsidRPr="005D40C5" w:rsidRDefault="00DE7F8D" w:rsidP="001474B8">
            <w:pPr>
              <w:pStyle w:val="Body"/>
              <w:spacing w:after="0" w:line="240" w:lineRule="auto"/>
              <w:jc w:val="center"/>
              <w:rPr>
                <w:color w:val="auto"/>
              </w:rPr>
            </w:pPr>
            <w:r w:rsidRPr="005D40C5">
              <w:rPr>
                <w:b/>
                <w:bCs/>
                <w:color w:val="auto"/>
                <w:sz w:val="16"/>
                <w:szCs w:val="16"/>
                <w:u w:color="FFFFFF"/>
              </w:rPr>
              <w:t>Minor (2)</w:t>
            </w:r>
          </w:p>
        </w:tc>
        <w:tc>
          <w:tcPr>
            <w:tcW w:w="8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EC983" w14:textId="77777777" w:rsidR="00DE7F8D" w:rsidRPr="005D40C5" w:rsidRDefault="00DE7F8D" w:rsidP="001474B8">
            <w:pPr>
              <w:pStyle w:val="Body"/>
              <w:spacing w:after="0" w:line="240" w:lineRule="auto"/>
              <w:jc w:val="center"/>
              <w:rPr>
                <w:color w:val="auto"/>
              </w:rPr>
            </w:pPr>
            <w:r w:rsidRPr="005D40C5">
              <w:rPr>
                <w:b/>
                <w:bCs/>
                <w:color w:val="auto"/>
                <w:sz w:val="16"/>
                <w:szCs w:val="16"/>
                <w:u w:color="FFFFFF"/>
              </w:rPr>
              <w:t>Moderate (3)</w:t>
            </w:r>
          </w:p>
        </w:tc>
        <w:tc>
          <w:tcPr>
            <w:tcW w:w="8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EC984" w14:textId="77777777" w:rsidR="00DE7F8D" w:rsidRPr="005D40C5" w:rsidRDefault="00DE7F8D" w:rsidP="001474B8">
            <w:pPr>
              <w:pStyle w:val="Body"/>
              <w:spacing w:after="0" w:line="240" w:lineRule="auto"/>
              <w:jc w:val="center"/>
              <w:rPr>
                <w:color w:val="auto"/>
              </w:rPr>
            </w:pPr>
            <w:r w:rsidRPr="005D40C5">
              <w:rPr>
                <w:b/>
                <w:bCs/>
                <w:color w:val="auto"/>
                <w:sz w:val="16"/>
                <w:szCs w:val="16"/>
                <w:u w:color="FFFFFF"/>
              </w:rPr>
              <w:t>Major (4)</w:t>
            </w:r>
          </w:p>
        </w:tc>
        <w:tc>
          <w:tcPr>
            <w:tcW w:w="8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EC985" w14:textId="77777777" w:rsidR="00DE7F8D" w:rsidRPr="005D40C5" w:rsidRDefault="00DE7F8D" w:rsidP="001474B8">
            <w:pPr>
              <w:pStyle w:val="Body"/>
              <w:spacing w:after="0" w:line="240" w:lineRule="auto"/>
              <w:jc w:val="center"/>
              <w:rPr>
                <w:color w:val="auto"/>
              </w:rPr>
            </w:pPr>
            <w:r w:rsidRPr="005D40C5">
              <w:rPr>
                <w:b/>
                <w:bCs/>
                <w:color w:val="auto"/>
                <w:sz w:val="16"/>
                <w:szCs w:val="16"/>
                <w:u w:color="FFFFFF"/>
              </w:rPr>
              <w:t>Extreme (5)</w:t>
            </w:r>
          </w:p>
        </w:tc>
      </w:tr>
      <w:tr w:rsidR="001474B8" w:rsidRPr="005D40C5" w14:paraId="097EC993" w14:textId="77777777" w:rsidTr="001833C1">
        <w:trPr>
          <w:trHeight w:val="324"/>
        </w:trPr>
        <w:tc>
          <w:tcPr>
            <w:tcW w:w="252" w:type="pct"/>
            <w:vMerge w:val="restart"/>
            <w:tcBorders>
              <w:top w:val="single" w:sz="4" w:space="0" w:color="000000"/>
              <w:left w:val="single" w:sz="4" w:space="0" w:color="000000"/>
              <w:right w:val="single" w:sz="4" w:space="0" w:color="000000"/>
            </w:tcBorders>
            <w:textDirection w:val="btLr"/>
          </w:tcPr>
          <w:p w14:paraId="097EC987" w14:textId="77777777" w:rsidR="00DE7F8D" w:rsidRPr="005D40C5" w:rsidRDefault="00DE7F8D" w:rsidP="001474B8">
            <w:pPr>
              <w:pStyle w:val="Body"/>
              <w:spacing w:after="0" w:line="240" w:lineRule="auto"/>
              <w:ind w:left="113" w:right="113"/>
              <w:jc w:val="center"/>
              <w:rPr>
                <w:b/>
                <w:bCs/>
                <w:color w:val="auto"/>
                <w:sz w:val="16"/>
                <w:szCs w:val="16"/>
                <w:u w:color="FFFFFF"/>
              </w:rPr>
            </w:pPr>
            <w:r w:rsidRPr="005D40C5">
              <w:rPr>
                <w:b/>
                <w:bCs/>
                <w:color w:val="auto"/>
                <w:sz w:val="20"/>
                <w:szCs w:val="16"/>
                <w:u w:color="FFFFFF"/>
              </w:rPr>
              <w:t>Likelihood</w:t>
            </w: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EC988" w14:textId="77777777" w:rsidR="00DE7F8D" w:rsidRPr="005D40C5" w:rsidRDefault="00DE7F8D" w:rsidP="001474B8">
            <w:pPr>
              <w:pStyle w:val="Body"/>
              <w:spacing w:after="0" w:line="240" w:lineRule="auto"/>
              <w:jc w:val="center"/>
              <w:rPr>
                <w:color w:val="auto"/>
              </w:rPr>
            </w:pPr>
            <w:r w:rsidRPr="005D40C5">
              <w:rPr>
                <w:b/>
                <w:bCs/>
                <w:color w:val="auto"/>
                <w:sz w:val="16"/>
                <w:szCs w:val="16"/>
                <w:u w:color="FFFFFF"/>
              </w:rPr>
              <w:t>Very Likely (5)</w:t>
            </w:r>
          </w:p>
        </w:tc>
        <w:tc>
          <w:tcPr>
            <w:tcW w:w="804" w:type="pct"/>
            <w:tcBorders>
              <w:top w:val="single" w:sz="4" w:space="0" w:color="000000"/>
              <w:left w:val="single" w:sz="4" w:space="0" w:color="000000"/>
              <w:bottom w:val="single" w:sz="4" w:space="0" w:color="000000"/>
              <w:right w:val="single" w:sz="4" w:space="0" w:color="000000"/>
            </w:tcBorders>
            <w:shd w:val="clear" w:color="auto" w:fill="0000FF"/>
            <w:tcMar>
              <w:top w:w="80" w:type="dxa"/>
              <w:left w:w="80" w:type="dxa"/>
              <w:bottom w:w="80" w:type="dxa"/>
              <w:right w:w="80" w:type="dxa"/>
            </w:tcMar>
            <w:vAlign w:val="center"/>
          </w:tcPr>
          <w:p w14:paraId="097EC989" w14:textId="77777777" w:rsidR="00DE7F8D" w:rsidRPr="005D40C5" w:rsidRDefault="00DE7F8D" w:rsidP="001474B8">
            <w:pPr>
              <w:pStyle w:val="Body"/>
              <w:spacing w:after="0" w:line="240" w:lineRule="auto"/>
              <w:jc w:val="center"/>
              <w:rPr>
                <w:b/>
                <w:bCs/>
                <w:color w:val="FFFFFF"/>
                <w:sz w:val="16"/>
                <w:szCs w:val="16"/>
                <w:u w:color="FFFFFF"/>
              </w:rPr>
            </w:pPr>
            <w:r w:rsidRPr="005D40C5">
              <w:rPr>
                <w:b/>
                <w:bCs/>
                <w:color w:val="FFFFFF"/>
                <w:sz w:val="16"/>
                <w:szCs w:val="16"/>
                <w:u w:color="FFFFFF"/>
              </w:rPr>
              <w:t>Medium</w:t>
            </w:r>
          </w:p>
          <w:p w14:paraId="097EC98A" w14:textId="77777777" w:rsidR="00DE7F8D" w:rsidRPr="005D40C5" w:rsidRDefault="00DE7F8D" w:rsidP="001474B8">
            <w:pPr>
              <w:pStyle w:val="Body"/>
              <w:spacing w:after="0" w:line="240" w:lineRule="auto"/>
              <w:jc w:val="center"/>
            </w:pPr>
            <w:r w:rsidRPr="005D40C5">
              <w:rPr>
                <w:b/>
                <w:bCs/>
                <w:color w:val="FFFFFF"/>
                <w:sz w:val="16"/>
                <w:szCs w:val="16"/>
                <w:u w:color="FFFFFF"/>
              </w:rPr>
              <w:t>(5)</w:t>
            </w:r>
          </w:p>
        </w:tc>
        <w:tc>
          <w:tcPr>
            <w:tcW w:w="804" w:type="pct"/>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097EC98B" w14:textId="77777777" w:rsidR="00DE7F8D" w:rsidRPr="005D40C5" w:rsidRDefault="00DE7F8D" w:rsidP="001474B8">
            <w:pPr>
              <w:pStyle w:val="Body"/>
              <w:spacing w:after="0" w:line="240" w:lineRule="auto"/>
              <w:jc w:val="center"/>
              <w:rPr>
                <w:b/>
                <w:bCs/>
                <w:color w:val="auto"/>
                <w:sz w:val="16"/>
                <w:szCs w:val="16"/>
                <w:u w:color="44546A"/>
              </w:rPr>
            </w:pPr>
            <w:r w:rsidRPr="005D40C5">
              <w:rPr>
                <w:b/>
                <w:bCs/>
                <w:color w:val="auto"/>
                <w:sz w:val="16"/>
                <w:szCs w:val="16"/>
                <w:u w:color="44546A"/>
              </w:rPr>
              <w:t>High</w:t>
            </w:r>
          </w:p>
          <w:p w14:paraId="097EC98C" w14:textId="77777777" w:rsidR="00DE7F8D" w:rsidRPr="005D40C5" w:rsidRDefault="00DE7F8D" w:rsidP="001474B8">
            <w:pPr>
              <w:pStyle w:val="Body"/>
              <w:spacing w:after="0" w:line="240" w:lineRule="auto"/>
              <w:jc w:val="center"/>
              <w:rPr>
                <w:color w:val="auto"/>
              </w:rPr>
            </w:pPr>
            <w:r w:rsidRPr="005D40C5">
              <w:rPr>
                <w:b/>
                <w:bCs/>
                <w:color w:val="auto"/>
                <w:sz w:val="16"/>
                <w:szCs w:val="16"/>
                <w:u w:color="44546A"/>
              </w:rPr>
              <w:t>(10)</w:t>
            </w:r>
          </w:p>
        </w:tc>
        <w:tc>
          <w:tcPr>
            <w:tcW w:w="804" w:type="pct"/>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097EC98D" w14:textId="77777777" w:rsidR="00DE7F8D" w:rsidRPr="005D40C5" w:rsidRDefault="00DE7F8D" w:rsidP="001474B8">
            <w:pPr>
              <w:pStyle w:val="Body"/>
              <w:spacing w:after="0" w:line="240" w:lineRule="auto"/>
              <w:jc w:val="center"/>
              <w:rPr>
                <w:b/>
                <w:bCs/>
                <w:color w:val="auto"/>
                <w:sz w:val="16"/>
                <w:szCs w:val="16"/>
                <w:u w:color="44546A"/>
              </w:rPr>
            </w:pPr>
            <w:r w:rsidRPr="005D40C5">
              <w:rPr>
                <w:b/>
                <w:bCs/>
                <w:color w:val="auto"/>
                <w:sz w:val="16"/>
                <w:szCs w:val="16"/>
                <w:u w:color="44546A"/>
              </w:rPr>
              <w:t>High</w:t>
            </w:r>
          </w:p>
          <w:p w14:paraId="097EC98E" w14:textId="77777777" w:rsidR="00DE7F8D" w:rsidRPr="005D40C5" w:rsidRDefault="00DE7F8D" w:rsidP="001474B8">
            <w:pPr>
              <w:pStyle w:val="Body"/>
              <w:spacing w:after="0" w:line="240" w:lineRule="auto"/>
              <w:jc w:val="center"/>
              <w:rPr>
                <w:color w:val="auto"/>
              </w:rPr>
            </w:pPr>
            <w:r w:rsidRPr="005D40C5">
              <w:rPr>
                <w:b/>
                <w:bCs/>
                <w:color w:val="auto"/>
                <w:sz w:val="16"/>
                <w:szCs w:val="16"/>
                <w:u w:color="44546A"/>
              </w:rPr>
              <w:t>(15)</w:t>
            </w:r>
          </w:p>
        </w:tc>
        <w:tc>
          <w:tcPr>
            <w:tcW w:w="804" w:type="pct"/>
            <w:tcBorders>
              <w:top w:val="single" w:sz="4" w:space="0" w:color="000000"/>
              <w:left w:val="single" w:sz="4" w:space="0" w:color="000000"/>
              <w:bottom w:val="single" w:sz="4" w:space="0" w:color="000000"/>
              <w:right w:val="single" w:sz="4" w:space="0" w:color="000000"/>
            </w:tcBorders>
            <w:shd w:val="clear" w:color="auto" w:fill="FF0000"/>
            <w:tcMar>
              <w:top w:w="80" w:type="dxa"/>
              <w:left w:w="80" w:type="dxa"/>
              <w:bottom w:w="80" w:type="dxa"/>
              <w:right w:w="80" w:type="dxa"/>
            </w:tcMar>
            <w:vAlign w:val="center"/>
          </w:tcPr>
          <w:p w14:paraId="097EC98F" w14:textId="77777777" w:rsidR="00DE7F8D" w:rsidRPr="005D40C5" w:rsidRDefault="00DE7F8D" w:rsidP="001474B8">
            <w:pPr>
              <w:pStyle w:val="Body"/>
              <w:spacing w:after="0" w:line="240" w:lineRule="auto"/>
              <w:jc w:val="center"/>
              <w:rPr>
                <w:b/>
                <w:bCs/>
                <w:color w:val="FFFFFF"/>
                <w:sz w:val="16"/>
                <w:szCs w:val="16"/>
                <w:u w:color="FFFFFF"/>
              </w:rPr>
            </w:pPr>
            <w:r w:rsidRPr="005D40C5">
              <w:rPr>
                <w:b/>
                <w:bCs/>
                <w:color w:val="FFFFFF"/>
                <w:sz w:val="16"/>
                <w:szCs w:val="16"/>
                <w:u w:color="FFFFFF"/>
              </w:rPr>
              <w:t>Very High</w:t>
            </w:r>
          </w:p>
          <w:p w14:paraId="097EC990" w14:textId="77777777" w:rsidR="00DE7F8D" w:rsidRPr="005D40C5" w:rsidRDefault="00DE7F8D" w:rsidP="001474B8">
            <w:pPr>
              <w:pStyle w:val="Body"/>
              <w:spacing w:after="0" w:line="240" w:lineRule="auto"/>
              <w:jc w:val="center"/>
            </w:pPr>
            <w:r w:rsidRPr="005D40C5">
              <w:rPr>
                <w:b/>
                <w:bCs/>
                <w:color w:val="FFFFFF"/>
                <w:sz w:val="16"/>
                <w:szCs w:val="16"/>
                <w:u w:color="FFFFFF"/>
              </w:rPr>
              <w:t>(20)</w:t>
            </w:r>
          </w:p>
        </w:tc>
        <w:tc>
          <w:tcPr>
            <w:tcW w:w="804" w:type="pct"/>
            <w:tcBorders>
              <w:top w:val="single" w:sz="4" w:space="0" w:color="000000"/>
              <w:left w:val="single" w:sz="4" w:space="0" w:color="000000"/>
              <w:bottom w:val="single" w:sz="4" w:space="0" w:color="000000"/>
              <w:right w:val="single" w:sz="4" w:space="0" w:color="000000"/>
            </w:tcBorders>
            <w:shd w:val="clear" w:color="auto" w:fill="FF0000"/>
            <w:tcMar>
              <w:top w:w="80" w:type="dxa"/>
              <w:left w:w="80" w:type="dxa"/>
              <w:bottom w:w="80" w:type="dxa"/>
              <w:right w:w="80" w:type="dxa"/>
            </w:tcMar>
            <w:vAlign w:val="center"/>
          </w:tcPr>
          <w:p w14:paraId="097EC991" w14:textId="77777777" w:rsidR="00DE7F8D" w:rsidRPr="005D40C5" w:rsidRDefault="00DE7F8D" w:rsidP="001474B8">
            <w:pPr>
              <w:pStyle w:val="Body"/>
              <w:spacing w:after="0" w:line="240" w:lineRule="auto"/>
              <w:jc w:val="center"/>
              <w:rPr>
                <w:b/>
                <w:bCs/>
                <w:color w:val="FFFFFF"/>
                <w:sz w:val="16"/>
                <w:szCs w:val="16"/>
                <w:u w:color="FFFFFF"/>
              </w:rPr>
            </w:pPr>
            <w:r w:rsidRPr="005D40C5">
              <w:rPr>
                <w:b/>
                <w:bCs/>
                <w:color w:val="FFFFFF"/>
                <w:sz w:val="16"/>
                <w:szCs w:val="16"/>
                <w:u w:color="FFFFFF"/>
              </w:rPr>
              <w:t>Very High</w:t>
            </w:r>
          </w:p>
          <w:p w14:paraId="097EC992" w14:textId="77777777" w:rsidR="00DE7F8D" w:rsidRPr="005D40C5" w:rsidRDefault="00DE7F8D" w:rsidP="001474B8">
            <w:pPr>
              <w:pStyle w:val="Body"/>
              <w:spacing w:after="0" w:line="240" w:lineRule="auto"/>
              <w:jc w:val="center"/>
            </w:pPr>
            <w:r w:rsidRPr="005D40C5">
              <w:rPr>
                <w:b/>
                <w:bCs/>
                <w:color w:val="FFFFFF"/>
                <w:sz w:val="16"/>
                <w:szCs w:val="16"/>
                <w:u w:color="FFFFFF"/>
              </w:rPr>
              <w:t>(25)</w:t>
            </w:r>
          </w:p>
        </w:tc>
      </w:tr>
      <w:tr w:rsidR="001474B8" w:rsidRPr="005D40C5" w14:paraId="097EC9A0" w14:textId="77777777" w:rsidTr="001833C1">
        <w:trPr>
          <w:trHeight w:val="297"/>
        </w:trPr>
        <w:tc>
          <w:tcPr>
            <w:tcW w:w="252" w:type="pct"/>
            <w:vMerge/>
            <w:tcBorders>
              <w:left w:val="single" w:sz="4" w:space="0" w:color="000000"/>
              <w:right w:val="single" w:sz="4" w:space="0" w:color="000000"/>
            </w:tcBorders>
          </w:tcPr>
          <w:p w14:paraId="097EC994" w14:textId="77777777" w:rsidR="00DE7F8D" w:rsidRPr="005D40C5" w:rsidRDefault="00DE7F8D" w:rsidP="001474B8">
            <w:pPr>
              <w:pStyle w:val="Body"/>
              <w:spacing w:after="0" w:line="240" w:lineRule="auto"/>
              <w:jc w:val="center"/>
              <w:rPr>
                <w:b/>
                <w:bCs/>
                <w:color w:val="auto"/>
                <w:sz w:val="16"/>
                <w:szCs w:val="16"/>
                <w:u w:color="FFFFFF"/>
              </w:rPr>
            </w:pP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EC995" w14:textId="77777777" w:rsidR="00DE7F8D" w:rsidRPr="005D40C5" w:rsidRDefault="00DE7F8D" w:rsidP="001474B8">
            <w:pPr>
              <w:pStyle w:val="Body"/>
              <w:spacing w:after="0" w:line="240" w:lineRule="auto"/>
              <w:jc w:val="center"/>
              <w:rPr>
                <w:color w:val="auto"/>
              </w:rPr>
            </w:pPr>
            <w:r w:rsidRPr="005D40C5">
              <w:rPr>
                <w:b/>
                <w:bCs/>
                <w:color w:val="auto"/>
                <w:sz w:val="16"/>
                <w:szCs w:val="16"/>
                <w:u w:color="FFFFFF"/>
              </w:rPr>
              <w:t>Likely (4)</w:t>
            </w:r>
          </w:p>
        </w:tc>
        <w:tc>
          <w:tcPr>
            <w:tcW w:w="804" w:type="pct"/>
            <w:tcBorders>
              <w:top w:val="single" w:sz="4" w:space="0" w:color="000000"/>
              <w:left w:val="single" w:sz="4" w:space="0" w:color="000000"/>
              <w:bottom w:val="single" w:sz="4" w:space="0" w:color="000000"/>
              <w:right w:val="single" w:sz="4" w:space="0" w:color="000000"/>
            </w:tcBorders>
            <w:shd w:val="clear" w:color="auto" w:fill="0000FF"/>
            <w:tcMar>
              <w:top w:w="80" w:type="dxa"/>
              <w:left w:w="80" w:type="dxa"/>
              <w:bottom w:w="80" w:type="dxa"/>
              <w:right w:w="80" w:type="dxa"/>
            </w:tcMar>
            <w:vAlign w:val="center"/>
          </w:tcPr>
          <w:p w14:paraId="097EC996" w14:textId="77777777" w:rsidR="00DE7F8D" w:rsidRPr="005D40C5" w:rsidRDefault="00DE7F8D" w:rsidP="001474B8">
            <w:pPr>
              <w:pStyle w:val="Body"/>
              <w:spacing w:after="0" w:line="240" w:lineRule="auto"/>
              <w:jc w:val="center"/>
              <w:rPr>
                <w:b/>
                <w:bCs/>
                <w:color w:val="FFFFFF"/>
                <w:sz w:val="16"/>
                <w:szCs w:val="16"/>
                <w:u w:color="FFFFFF"/>
              </w:rPr>
            </w:pPr>
            <w:r w:rsidRPr="005D40C5">
              <w:rPr>
                <w:b/>
                <w:bCs/>
                <w:color w:val="FFFFFF"/>
                <w:sz w:val="16"/>
                <w:szCs w:val="16"/>
                <w:u w:color="FFFFFF"/>
              </w:rPr>
              <w:t>Medium</w:t>
            </w:r>
          </w:p>
          <w:p w14:paraId="097EC997" w14:textId="77777777" w:rsidR="00DE7F8D" w:rsidRPr="005D40C5" w:rsidRDefault="00DE7F8D" w:rsidP="001474B8">
            <w:pPr>
              <w:pStyle w:val="Body"/>
              <w:spacing w:after="0" w:line="240" w:lineRule="auto"/>
              <w:jc w:val="center"/>
            </w:pPr>
            <w:r w:rsidRPr="005D40C5">
              <w:rPr>
                <w:b/>
                <w:bCs/>
                <w:color w:val="FFFFFF"/>
                <w:sz w:val="16"/>
                <w:szCs w:val="16"/>
                <w:u w:color="FFFFFF"/>
              </w:rPr>
              <w:t>(4)</w:t>
            </w:r>
          </w:p>
        </w:tc>
        <w:tc>
          <w:tcPr>
            <w:tcW w:w="804" w:type="pct"/>
            <w:tcBorders>
              <w:top w:val="single" w:sz="4" w:space="0" w:color="000000"/>
              <w:left w:val="single" w:sz="4" w:space="0" w:color="000000"/>
              <w:bottom w:val="single" w:sz="4" w:space="0" w:color="000000"/>
              <w:right w:val="single" w:sz="4" w:space="0" w:color="000000"/>
            </w:tcBorders>
            <w:shd w:val="clear" w:color="auto" w:fill="0000FF"/>
            <w:tcMar>
              <w:top w:w="80" w:type="dxa"/>
              <w:left w:w="80" w:type="dxa"/>
              <w:bottom w:w="80" w:type="dxa"/>
              <w:right w:w="80" w:type="dxa"/>
            </w:tcMar>
            <w:vAlign w:val="center"/>
          </w:tcPr>
          <w:p w14:paraId="097EC998" w14:textId="77777777" w:rsidR="00DE7F8D" w:rsidRPr="005D40C5" w:rsidRDefault="00DE7F8D" w:rsidP="001474B8">
            <w:pPr>
              <w:pStyle w:val="Body"/>
              <w:spacing w:after="0" w:line="240" w:lineRule="auto"/>
              <w:jc w:val="center"/>
              <w:rPr>
                <w:b/>
                <w:bCs/>
                <w:color w:val="FFFFFF"/>
                <w:sz w:val="16"/>
                <w:szCs w:val="16"/>
                <w:u w:color="FFFFFF"/>
              </w:rPr>
            </w:pPr>
            <w:r w:rsidRPr="005D40C5">
              <w:rPr>
                <w:b/>
                <w:bCs/>
                <w:color w:val="FFFFFF"/>
                <w:sz w:val="16"/>
                <w:szCs w:val="16"/>
                <w:u w:color="FFFFFF"/>
              </w:rPr>
              <w:t>Medium</w:t>
            </w:r>
          </w:p>
          <w:p w14:paraId="097EC999" w14:textId="77777777" w:rsidR="00DE7F8D" w:rsidRPr="005D40C5" w:rsidRDefault="00DE7F8D" w:rsidP="001474B8">
            <w:pPr>
              <w:pStyle w:val="Body"/>
              <w:spacing w:after="0" w:line="240" w:lineRule="auto"/>
              <w:jc w:val="center"/>
            </w:pPr>
            <w:r w:rsidRPr="005D40C5">
              <w:rPr>
                <w:b/>
                <w:bCs/>
                <w:color w:val="FFFFFF"/>
                <w:sz w:val="16"/>
                <w:szCs w:val="16"/>
                <w:u w:color="FFFFFF"/>
              </w:rPr>
              <w:t>(8)</w:t>
            </w:r>
          </w:p>
        </w:tc>
        <w:tc>
          <w:tcPr>
            <w:tcW w:w="804" w:type="pct"/>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097EC99A" w14:textId="77777777" w:rsidR="00DE7F8D" w:rsidRPr="005D40C5" w:rsidRDefault="00DE7F8D" w:rsidP="001474B8">
            <w:pPr>
              <w:pStyle w:val="Body"/>
              <w:spacing w:after="0" w:line="240" w:lineRule="auto"/>
              <w:jc w:val="center"/>
              <w:rPr>
                <w:b/>
                <w:bCs/>
                <w:color w:val="auto"/>
                <w:sz w:val="16"/>
                <w:szCs w:val="16"/>
                <w:u w:color="44546A"/>
              </w:rPr>
            </w:pPr>
            <w:r w:rsidRPr="005D40C5">
              <w:rPr>
                <w:b/>
                <w:bCs/>
                <w:color w:val="auto"/>
                <w:sz w:val="16"/>
                <w:szCs w:val="16"/>
                <w:u w:color="44546A"/>
              </w:rPr>
              <w:t>High</w:t>
            </w:r>
          </w:p>
          <w:p w14:paraId="097EC99B" w14:textId="77777777" w:rsidR="00DE7F8D" w:rsidRPr="005D40C5" w:rsidRDefault="00DE7F8D" w:rsidP="001474B8">
            <w:pPr>
              <w:pStyle w:val="Body"/>
              <w:spacing w:after="0" w:line="240" w:lineRule="auto"/>
              <w:jc w:val="center"/>
              <w:rPr>
                <w:color w:val="auto"/>
              </w:rPr>
            </w:pPr>
            <w:r w:rsidRPr="005D40C5">
              <w:rPr>
                <w:b/>
                <w:bCs/>
                <w:color w:val="auto"/>
                <w:sz w:val="16"/>
                <w:szCs w:val="16"/>
                <w:u w:color="44546A"/>
              </w:rPr>
              <w:t>(12)</w:t>
            </w:r>
          </w:p>
        </w:tc>
        <w:tc>
          <w:tcPr>
            <w:tcW w:w="804" w:type="pct"/>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097EC99C" w14:textId="77777777" w:rsidR="00DE7F8D" w:rsidRPr="005D40C5" w:rsidRDefault="00DE7F8D" w:rsidP="001474B8">
            <w:pPr>
              <w:pStyle w:val="Body"/>
              <w:spacing w:after="0" w:line="240" w:lineRule="auto"/>
              <w:jc w:val="center"/>
              <w:rPr>
                <w:b/>
                <w:bCs/>
                <w:color w:val="auto"/>
                <w:sz w:val="16"/>
                <w:szCs w:val="16"/>
                <w:u w:color="44546A"/>
              </w:rPr>
            </w:pPr>
            <w:r w:rsidRPr="005D40C5">
              <w:rPr>
                <w:b/>
                <w:bCs/>
                <w:color w:val="auto"/>
                <w:sz w:val="16"/>
                <w:szCs w:val="16"/>
                <w:u w:color="44546A"/>
              </w:rPr>
              <w:t>High</w:t>
            </w:r>
          </w:p>
          <w:p w14:paraId="097EC99D" w14:textId="77777777" w:rsidR="00DE7F8D" w:rsidRPr="005D40C5" w:rsidRDefault="00DE7F8D" w:rsidP="001474B8">
            <w:pPr>
              <w:pStyle w:val="Body"/>
              <w:spacing w:after="0" w:line="240" w:lineRule="auto"/>
              <w:jc w:val="center"/>
              <w:rPr>
                <w:color w:val="auto"/>
              </w:rPr>
            </w:pPr>
            <w:r w:rsidRPr="005D40C5">
              <w:rPr>
                <w:b/>
                <w:bCs/>
                <w:color w:val="auto"/>
                <w:sz w:val="16"/>
                <w:szCs w:val="16"/>
                <w:u w:color="44546A"/>
              </w:rPr>
              <w:t>(16)</w:t>
            </w:r>
          </w:p>
        </w:tc>
        <w:tc>
          <w:tcPr>
            <w:tcW w:w="804" w:type="pct"/>
            <w:tcBorders>
              <w:top w:val="single" w:sz="4" w:space="0" w:color="000000"/>
              <w:left w:val="single" w:sz="4" w:space="0" w:color="000000"/>
              <w:bottom w:val="single" w:sz="4" w:space="0" w:color="000000"/>
              <w:right w:val="single" w:sz="4" w:space="0" w:color="000000"/>
            </w:tcBorders>
            <w:shd w:val="clear" w:color="auto" w:fill="FF0000"/>
            <w:tcMar>
              <w:top w:w="80" w:type="dxa"/>
              <w:left w:w="80" w:type="dxa"/>
              <w:bottom w:w="80" w:type="dxa"/>
              <w:right w:w="80" w:type="dxa"/>
            </w:tcMar>
            <w:vAlign w:val="center"/>
          </w:tcPr>
          <w:p w14:paraId="097EC99E" w14:textId="77777777" w:rsidR="00DE7F8D" w:rsidRPr="005D40C5" w:rsidRDefault="00DE7F8D" w:rsidP="001474B8">
            <w:pPr>
              <w:pStyle w:val="Body"/>
              <w:spacing w:after="0" w:line="240" w:lineRule="auto"/>
              <w:jc w:val="center"/>
              <w:rPr>
                <w:b/>
                <w:bCs/>
                <w:color w:val="FFFFFF"/>
                <w:sz w:val="16"/>
                <w:szCs w:val="16"/>
                <w:u w:color="FFFFFF"/>
              </w:rPr>
            </w:pPr>
            <w:r w:rsidRPr="005D40C5">
              <w:rPr>
                <w:b/>
                <w:bCs/>
                <w:color w:val="FFFFFF"/>
                <w:sz w:val="16"/>
                <w:szCs w:val="16"/>
                <w:u w:color="FFFFFF"/>
              </w:rPr>
              <w:t>Very High</w:t>
            </w:r>
          </w:p>
          <w:p w14:paraId="097EC99F" w14:textId="77777777" w:rsidR="00DE7F8D" w:rsidRPr="005D40C5" w:rsidRDefault="00DE7F8D" w:rsidP="001474B8">
            <w:pPr>
              <w:pStyle w:val="Body"/>
              <w:spacing w:after="0" w:line="240" w:lineRule="auto"/>
              <w:jc w:val="center"/>
            </w:pPr>
            <w:r w:rsidRPr="005D40C5">
              <w:rPr>
                <w:b/>
                <w:bCs/>
                <w:color w:val="FFFFFF"/>
                <w:sz w:val="16"/>
                <w:szCs w:val="16"/>
                <w:u w:color="FFFFFF"/>
              </w:rPr>
              <w:t>(20)</w:t>
            </w:r>
          </w:p>
        </w:tc>
      </w:tr>
      <w:tr w:rsidR="001474B8" w:rsidRPr="005D40C5" w14:paraId="097EC9AD" w14:textId="77777777" w:rsidTr="001833C1">
        <w:trPr>
          <w:trHeight w:val="279"/>
        </w:trPr>
        <w:tc>
          <w:tcPr>
            <w:tcW w:w="252" w:type="pct"/>
            <w:vMerge/>
            <w:tcBorders>
              <w:left w:val="single" w:sz="4" w:space="0" w:color="000000"/>
              <w:right w:val="single" w:sz="4" w:space="0" w:color="000000"/>
            </w:tcBorders>
          </w:tcPr>
          <w:p w14:paraId="097EC9A1" w14:textId="77777777" w:rsidR="00DE7F8D" w:rsidRPr="005D40C5" w:rsidRDefault="00DE7F8D" w:rsidP="001474B8">
            <w:pPr>
              <w:pStyle w:val="Body"/>
              <w:spacing w:after="0" w:line="240" w:lineRule="auto"/>
              <w:jc w:val="center"/>
              <w:rPr>
                <w:b/>
                <w:bCs/>
                <w:color w:val="auto"/>
                <w:sz w:val="16"/>
                <w:szCs w:val="16"/>
                <w:u w:color="FFFFFF"/>
              </w:rPr>
            </w:pP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EC9A2" w14:textId="77777777" w:rsidR="00DE7F8D" w:rsidRPr="005D40C5" w:rsidRDefault="00DE7F8D" w:rsidP="001474B8">
            <w:pPr>
              <w:pStyle w:val="Body"/>
              <w:spacing w:after="0" w:line="240" w:lineRule="auto"/>
              <w:jc w:val="center"/>
              <w:rPr>
                <w:color w:val="auto"/>
              </w:rPr>
            </w:pPr>
            <w:r w:rsidRPr="005D40C5">
              <w:rPr>
                <w:b/>
                <w:bCs/>
                <w:color w:val="auto"/>
                <w:sz w:val="16"/>
                <w:szCs w:val="16"/>
                <w:u w:color="FFFFFF"/>
              </w:rPr>
              <w:t>Possible (3)</w:t>
            </w:r>
          </w:p>
        </w:tc>
        <w:tc>
          <w:tcPr>
            <w:tcW w:w="804" w:type="pct"/>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vAlign w:val="center"/>
          </w:tcPr>
          <w:p w14:paraId="097EC9A3" w14:textId="77777777" w:rsidR="00DE7F8D" w:rsidRPr="005D40C5" w:rsidRDefault="00DE7F8D" w:rsidP="001474B8">
            <w:pPr>
              <w:pStyle w:val="Body"/>
              <w:spacing w:after="0" w:line="240" w:lineRule="auto"/>
              <w:jc w:val="center"/>
              <w:rPr>
                <w:b/>
                <w:bCs/>
                <w:color w:val="FFFFFF"/>
                <w:sz w:val="16"/>
                <w:szCs w:val="16"/>
                <w:u w:color="44546A"/>
              </w:rPr>
            </w:pPr>
            <w:r w:rsidRPr="005D40C5">
              <w:rPr>
                <w:b/>
                <w:bCs/>
                <w:color w:val="FFFFFF"/>
                <w:sz w:val="16"/>
                <w:szCs w:val="16"/>
                <w:u w:color="44546A"/>
              </w:rPr>
              <w:t>Low</w:t>
            </w:r>
          </w:p>
          <w:p w14:paraId="097EC9A4" w14:textId="77777777" w:rsidR="00DE7F8D" w:rsidRPr="005D40C5" w:rsidRDefault="00DE7F8D" w:rsidP="001474B8">
            <w:pPr>
              <w:pStyle w:val="Body"/>
              <w:spacing w:after="0" w:line="240" w:lineRule="auto"/>
              <w:jc w:val="center"/>
              <w:rPr>
                <w:color w:val="FFFFFF"/>
              </w:rPr>
            </w:pPr>
            <w:r w:rsidRPr="005D40C5">
              <w:rPr>
                <w:b/>
                <w:bCs/>
                <w:color w:val="FFFFFF"/>
                <w:sz w:val="16"/>
                <w:szCs w:val="16"/>
                <w:u w:color="44546A"/>
              </w:rPr>
              <w:t>(3)</w:t>
            </w:r>
          </w:p>
        </w:tc>
        <w:tc>
          <w:tcPr>
            <w:tcW w:w="804" w:type="pct"/>
            <w:tcBorders>
              <w:top w:val="single" w:sz="4" w:space="0" w:color="000000"/>
              <w:left w:val="single" w:sz="4" w:space="0" w:color="000000"/>
              <w:bottom w:val="single" w:sz="4" w:space="0" w:color="000000"/>
              <w:right w:val="single" w:sz="4" w:space="0" w:color="000000"/>
            </w:tcBorders>
            <w:shd w:val="clear" w:color="auto" w:fill="0000FF"/>
            <w:tcMar>
              <w:top w:w="80" w:type="dxa"/>
              <w:left w:w="80" w:type="dxa"/>
              <w:bottom w:w="80" w:type="dxa"/>
              <w:right w:w="80" w:type="dxa"/>
            </w:tcMar>
            <w:vAlign w:val="center"/>
          </w:tcPr>
          <w:p w14:paraId="097EC9A5" w14:textId="77777777" w:rsidR="00DE7F8D" w:rsidRPr="005D40C5" w:rsidRDefault="00DE7F8D" w:rsidP="001474B8">
            <w:pPr>
              <w:pStyle w:val="Body"/>
              <w:spacing w:after="0" w:line="240" w:lineRule="auto"/>
              <w:jc w:val="center"/>
              <w:rPr>
                <w:b/>
                <w:bCs/>
                <w:color w:val="FFFFFF"/>
                <w:sz w:val="16"/>
                <w:szCs w:val="16"/>
                <w:u w:color="FFFFFF"/>
              </w:rPr>
            </w:pPr>
            <w:r w:rsidRPr="005D40C5">
              <w:rPr>
                <w:b/>
                <w:bCs/>
                <w:color w:val="FFFFFF"/>
                <w:sz w:val="16"/>
                <w:szCs w:val="16"/>
                <w:u w:color="FFFFFF"/>
              </w:rPr>
              <w:t>Medium</w:t>
            </w:r>
          </w:p>
          <w:p w14:paraId="097EC9A6" w14:textId="77777777" w:rsidR="00DE7F8D" w:rsidRPr="005D40C5" w:rsidRDefault="00DE7F8D" w:rsidP="001474B8">
            <w:pPr>
              <w:pStyle w:val="Body"/>
              <w:spacing w:after="0" w:line="240" w:lineRule="auto"/>
              <w:jc w:val="center"/>
            </w:pPr>
            <w:r w:rsidRPr="005D40C5">
              <w:rPr>
                <w:b/>
                <w:bCs/>
                <w:color w:val="FFFFFF"/>
                <w:sz w:val="16"/>
                <w:szCs w:val="16"/>
                <w:u w:color="FFFFFF"/>
              </w:rPr>
              <w:t>(6)</w:t>
            </w:r>
          </w:p>
        </w:tc>
        <w:tc>
          <w:tcPr>
            <w:tcW w:w="804" w:type="pct"/>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097EC9A7" w14:textId="77777777" w:rsidR="00DE7F8D" w:rsidRPr="005D40C5" w:rsidRDefault="00DE7F8D" w:rsidP="001474B8">
            <w:pPr>
              <w:pStyle w:val="Body"/>
              <w:spacing w:after="0" w:line="240" w:lineRule="auto"/>
              <w:jc w:val="center"/>
              <w:rPr>
                <w:b/>
                <w:bCs/>
                <w:sz w:val="16"/>
                <w:szCs w:val="16"/>
              </w:rPr>
            </w:pPr>
            <w:r w:rsidRPr="005D40C5">
              <w:rPr>
                <w:b/>
                <w:bCs/>
                <w:sz w:val="16"/>
                <w:szCs w:val="16"/>
              </w:rPr>
              <w:t>High</w:t>
            </w:r>
          </w:p>
          <w:p w14:paraId="097EC9A8" w14:textId="77777777" w:rsidR="00DE7F8D" w:rsidRPr="005D40C5" w:rsidRDefault="00DE7F8D" w:rsidP="001474B8">
            <w:pPr>
              <w:pStyle w:val="Body"/>
              <w:spacing w:after="0" w:line="240" w:lineRule="auto"/>
              <w:jc w:val="center"/>
            </w:pPr>
            <w:r w:rsidRPr="005D40C5">
              <w:rPr>
                <w:b/>
                <w:bCs/>
                <w:sz w:val="16"/>
                <w:szCs w:val="16"/>
              </w:rPr>
              <w:t>(9)</w:t>
            </w:r>
          </w:p>
        </w:tc>
        <w:tc>
          <w:tcPr>
            <w:tcW w:w="804" w:type="pct"/>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097EC9A9" w14:textId="77777777" w:rsidR="00DE7F8D" w:rsidRPr="005D40C5" w:rsidRDefault="00DE7F8D" w:rsidP="001474B8">
            <w:pPr>
              <w:pStyle w:val="Body"/>
              <w:spacing w:after="0" w:line="240" w:lineRule="auto"/>
              <w:jc w:val="center"/>
              <w:rPr>
                <w:b/>
                <w:bCs/>
                <w:color w:val="auto"/>
                <w:sz w:val="16"/>
                <w:szCs w:val="16"/>
                <w:u w:color="44546A"/>
              </w:rPr>
            </w:pPr>
            <w:r w:rsidRPr="005D40C5">
              <w:rPr>
                <w:b/>
                <w:bCs/>
                <w:color w:val="auto"/>
                <w:sz w:val="16"/>
                <w:szCs w:val="16"/>
                <w:u w:color="44546A"/>
              </w:rPr>
              <w:t>High</w:t>
            </w:r>
          </w:p>
          <w:p w14:paraId="097EC9AA" w14:textId="77777777" w:rsidR="00DE7F8D" w:rsidRPr="005D40C5" w:rsidRDefault="00DE7F8D" w:rsidP="001474B8">
            <w:pPr>
              <w:pStyle w:val="Body"/>
              <w:spacing w:after="0" w:line="240" w:lineRule="auto"/>
              <w:jc w:val="center"/>
              <w:rPr>
                <w:color w:val="auto"/>
              </w:rPr>
            </w:pPr>
            <w:r w:rsidRPr="005D40C5">
              <w:rPr>
                <w:b/>
                <w:bCs/>
                <w:color w:val="auto"/>
                <w:sz w:val="16"/>
                <w:szCs w:val="16"/>
                <w:u w:color="44546A"/>
              </w:rPr>
              <w:t>(12)</w:t>
            </w:r>
          </w:p>
        </w:tc>
        <w:tc>
          <w:tcPr>
            <w:tcW w:w="804" w:type="pct"/>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097EC9AB" w14:textId="77777777" w:rsidR="00DE7F8D" w:rsidRPr="005D40C5" w:rsidRDefault="00DE7F8D" w:rsidP="001474B8">
            <w:pPr>
              <w:pStyle w:val="Body"/>
              <w:spacing w:after="0" w:line="240" w:lineRule="auto"/>
              <w:jc w:val="center"/>
              <w:rPr>
                <w:b/>
                <w:bCs/>
                <w:color w:val="auto"/>
                <w:sz w:val="16"/>
                <w:szCs w:val="16"/>
                <w:u w:color="44546A"/>
              </w:rPr>
            </w:pPr>
            <w:r w:rsidRPr="005D40C5">
              <w:rPr>
                <w:b/>
                <w:bCs/>
                <w:color w:val="auto"/>
                <w:sz w:val="16"/>
                <w:szCs w:val="16"/>
                <w:u w:color="44546A"/>
              </w:rPr>
              <w:t>High</w:t>
            </w:r>
          </w:p>
          <w:p w14:paraId="097EC9AC" w14:textId="77777777" w:rsidR="00DE7F8D" w:rsidRPr="005D40C5" w:rsidRDefault="00DE7F8D" w:rsidP="001474B8">
            <w:pPr>
              <w:pStyle w:val="Body"/>
              <w:spacing w:after="0" w:line="240" w:lineRule="auto"/>
              <w:jc w:val="center"/>
              <w:rPr>
                <w:color w:val="auto"/>
              </w:rPr>
            </w:pPr>
            <w:r w:rsidRPr="005D40C5">
              <w:rPr>
                <w:b/>
                <w:bCs/>
                <w:color w:val="auto"/>
                <w:sz w:val="16"/>
                <w:szCs w:val="16"/>
                <w:u w:color="44546A"/>
              </w:rPr>
              <w:t>(15)</w:t>
            </w:r>
          </w:p>
        </w:tc>
      </w:tr>
      <w:tr w:rsidR="001474B8" w:rsidRPr="005D40C5" w14:paraId="097EC9BA" w14:textId="77777777" w:rsidTr="001833C1">
        <w:trPr>
          <w:trHeight w:val="226"/>
        </w:trPr>
        <w:tc>
          <w:tcPr>
            <w:tcW w:w="252" w:type="pct"/>
            <w:vMerge/>
            <w:tcBorders>
              <w:left w:val="single" w:sz="4" w:space="0" w:color="000000"/>
              <w:right w:val="single" w:sz="4" w:space="0" w:color="000000"/>
            </w:tcBorders>
            <w:shd w:val="clear" w:color="auto" w:fill="auto"/>
          </w:tcPr>
          <w:p w14:paraId="097EC9AE" w14:textId="77777777" w:rsidR="00DE7F8D" w:rsidRPr="005D40C5" w:rsidRDefault="00DE7F8D" w:rsidP="001474B8">
            <w:pPr>
              <w:pStyle w:val="Body"/>
              <w:spacing w:after="0" w:line="240" w:lineRule="auto"/>
              <w:rPr>
                <w:b/>
                <w:bCs/>
                <w:color w:val="auto"/>
                <w:sz w:val="16"/>
                <w:szCs w:val="16"/>
                <w:u w:color="FFFFFF"/>
              </w:rPr>
            </w:pP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EC9AF" w14:textId="77777777" w:rsidR="00DE7F8D" w:rsidRPr="005D40C5" w:rsidRDefault="00DE7F8D" w:rsidP="001474B8">
            <w:pPr>
              <w:pStyle w:val="Body"/>
              <w:spacing w:after="0" w:line="240" w:lineRule="auto"/>
              <w:jc w:val="center"/>
              <w:rPr>
                <w:color w:val="auto"/>
              </w:rPr>
            </w:pPr>
            <w:r w:rsidRPr="005D40C5">
              <w:rPr>
                <w:b/>
                <w:bCs/>
                <w:color w:val="auto"/>
                <w:sz w:val="16"/>
                <w:szCs w:val="16"/>
                <w:u w:color="FFFFFF"/>
              </w:rPr>
              <w:t>Unlikely (2)</w:t>
            </w:r>
          </w:p>
        </w:tc>
        <w:tc>
          <w:tcPr>
            <w:tcW w:w="804" w:type="pct"/>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vAlign w:val="center"/>
          </w:tcPr>
          <w:p w14:paraId="097EC9B0" w14:textId="77777777" w:rsidR="00DE7F8D" w:rsidRPr="005D40C5" w:rsidRDefault="00DE7F8D" w:rsidP="001474B8">
            <w:pPr>
              <w:pStyle w:val="Body"/>
              <w:spacing w:after="0" w:line="240" w:lineRule="auto"/>
              <w:jc w:val="center"/>
              <w:rPr>
                <w:b/>
                <w:bCs/>
                <w:color w:val="FFFFFF"/>
                <w:sz w:val="16"/>
                <w:szCs w:val="16"/>
                <w:u w:color="44546A"/>
              </w:rPr>
            </w:pPr>
            <w:r w:rsidRPr="005D40C5">
              <w:rPr>
                <w:b/>
                <w:bCs/>
                <w:color w:val="FFFFFF"/>
                <w:sz w:val="16"/>
                <w:szCs w:val="16"/>
                <w:u w:color="44546A"/>
              </w:rPr>
              <w:t>Low</w:t>
            </w:r>
          </w:p>
          <w:p w14:paraId="097EC9B1" w14:textId="77777777" w:rsidR="00DE7F8D" w:rsidRPr="005D40C5" w:rsidRDefault="00DE7F8D" w:rsidP="001474B8">
            <w:pPr>
              <w:pStyle w:val="Body"/>
              <w:spacing w:after="0" w:line="240" w:lineRule="auto"/>
              <w:jc w:val="center"/>
              <w:rPr>
                <w:color w:val="FFFFFF"/>
              </w:rPr>
            </w:pPr>
            <w:r w:rsidRPr="005D40C5">
              <w:rPr>
                <w:b/>
                <w:bCs/>
                <w:color w:val="FFFFFF"/>
                <w:sz w:val="16"/>
                <w:szCs w:val="16"/>
                <w:u w:color="44546A"/>
              </w:rPr>
              <w:t>(2)</w:t>
            </w:r>
          </w:p>
        </w:tc>
        <w:tc>
          <w:tcPr>
            <w:tcW w:w="804" w:type="pct"/>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vAlign w:val="center"/>
          </w:tcPr>
          <w:p w14:paraId="097EC9B2" w14:textId="77777777" w:rsidR="00DE7F8D" w:rsidRPr="005D40C5" w:rsidRDefault="00DE7F8D" w:rsidP="001474B8">
            <w:pPr>
              <w:pStyle w:val="Body"/>
              <w:spacing w:after="0" w:line="240" w:lineRule="auto"/>
              <w:jc w:val="center"/>
              <w:rPr>
                <w:b/>
                <w:bCs/>
                <w:color w:val="FFFFFF"/>
                <w:sz w:val="16"/>
                <w:szCs w:val="16"/>
                <w:u w:color="44546A"/>
              </w:rPr>
            </w:pPr>
            <w:r w:rsidRPr="005D40C5">
              <w:rPr>
                <w:b/>
                <w:bCs/>
                <w:color w:val="FFFFFF"/>
                <w:sz w:val="16"/>
                <w:szCs w:val="16"/>
                <w:u w:color="44546A"/>
              </w:rPr>
              <w:t>Low</w:t>
            </w:r>
          </w:p>
          <w:p w14:paraId="097EC9B3" w14:textId="77777777" w:rsidR="00DE7F8D" w:rsidRPr="005D40C5" w:rsidRDefault="00DE7F8D" w:rsidP="001474B8">
            <w:pPr>
              <w:pStyle w:val="Body"/>
              <w:spacing w:after="0" w:line="240" w:lineRule="auto"/>
              <w:jc w:val="center"/>
            </w:pPr>
            <w:r w:rsidRPr="005D40C5">
              <w:rPr>
                <w:b/>
                <w:bCs/>
                <w:color w:val="FFFFFF"/>
                <w:sz w:val="16"/>
                <w:szCs w:val="16"/>
                <w:u w:color="44546A"/>
              </w:rPr>
              <w:t>(4)</w:t>
            </w:r>
          </w:p>
        </w:tc>
        <w:tc>
          <w:tcPr>
            <w:tcW w:w="804" w:type="pct"/>
            <w:tcBorders>
              <w:top w:val="single" w:sz="4" w:space="0" w:color="000000"/>
              <w:left w:val="single" w:sz="4" w:space="0" w:color="000000"/>
              <w:bottom w:val="single" w:sz="4" w:space="0" w:color="000000"/>
              <w:right w:val="single" w:sz="4" w:space="0" w:color="000000"/>
            </w:tcBorders>
            <w:shd w:val="clear" w:color="auto" w:fill="0000FF"/>
            <w:tcMar>
              <w:top w:w="80" w:type="dxa"/>
              <w:left w:w="80" w:type="dxa"/>
              <w:bottom w:w="80" w:type="dxa"/>
              <w:right w:w="80" w:type="dxa"/>
            </w:tcMar>
            <w:vAlign w:val="center"/>
          </w:tcPr>
          <w:p w14:paraId="097EC9B4" w14:textId="77777777" w:rsidR="00DE7F8D" w:rsidRPr="005D40C5" w:rsidRDefault="00DE7F8D" w:rsidP="001474B8">
            <w:pPr>
              <w:pStyle w:val="Body"/>
              <w:spacing w:after="0" w:line="240" w:lineRule="auto"/>
              <w:jc w:val="center"/>
              <w:rPr>
                <w:b/>
                <w:bCs/>
                <w:color w:val="FFFFFF"/>
                <w:sz w:val="16"/>
                <w:szCs w:val="16"/>
                <w:u w:color="FFFFFF"/>
              </w:rPr>
            </w:pPr>
            <w:r w:rsidRPr="005D40C5">
              <w:rPr>
                <w:b/>
                <w:bCs/>
                <w:color w:val="FFFFFF"/>
                <w:sz w:val="16"/>
                <w:szCs w:val="16"/>
                <w:u w:color="FFFFFF"/>
              </w:rPr>
              <w:t>Medium</w:t>
            </w:r>
          </w:p>
          <w:p w14:paraId="097EC9B5" w14:textId="77777777" w:rsidR="00DE7F8D" w:rsidRPr="005D40C5" w:rsidRDefault="00DE7F8D" w:rsidP="001474B8">
            <w:pPr>
              <w:pStyle w:val="Body"/>
              <w:spacing w:after="0" w:line="240" w:lineRule="auto"/>
              <w:jc w:val="center"/>
            </w:pPr>
            <w:r w:rsidRPr="005D40C5">
              <w:rPr>
                <w:b/>
                <w:bCs/>
                <w:color w:val="FFFFFF"/>
                <w:sz w:val="16"/>
                <w:szCs w:val="16"/>
                <w:u w:color="FFFFFF"/>
              </w:rPr>
              <w:t>(6)</w:t>
            </w:r>
          </w:p>
        </w:tc>
        <w:tc>
          <w:tcPr>
            <w:tcW w:w="804" w:type="pct"/>
            <w:tcBorders>
              <w:top w:val="single" w:sz="4" w:space="0" w:color="000000"/>
              <w:left w:val="single" w:sz="4" w:space="0" w:color="000000"/>
              <w:bottom w:val="single" w:sz="4" w:space="0" w:color="000000"/>
              <w:right w:val="single" w:sz="4" w:space="0" w:color="000000"/>
            </w:tcBorders>
            <w:shd w:val="clear" w:color="auto" w:fill="0000FF"/>
            <w:tcMar>
              <w:top w:w="80" w:type="dxa"/>
              <w:left w:w="80" w:type="dxa"/>
              <w:bottom w:w="80" w:type="dxa"/>
              <w:right w:w="80" w:type="dxa"/>
            </w:tcMar>
            <w:vAlign w:val="center"/>
          </w:tcPr>
          <w:p w14:paraId="097EC9B6" w14:textId="77777777" w:rsidR="00DE7F8D" w:rsidRPr="005D40C5" w:rsidRDefault="00DE7F8D" w:rsidP="001474B8">
            <w:pPr>
              <w:pStyle w:val="Body"/>
              <w:spacing w:after="0" w:line="240" w:lineRule="auto"/>
              <w:jc w:val="center"/>
              <w:rPr>
                <w:b/>
                <w:bCs/>
                <w:color w:val="FFFFFF"/>
                <w:sz w:val="16"/>
                <w:szCs w:val="16"/>
                <w:u w:color="FFFFFF"/>
              </w:rPr>
            </w:pPr>
            <w:r w:rsidRPr="005D40C5">
              <w:rPr>
                <w:b/>
                <w:bCs/>
                <w:color w:val="FFFFFF"/>
                <w:sz w:val="16"/>
                <w:szCs w:val="16"/>
                <w:u w:color="FFFFFF"/>
              </w:rPr>
              <w:t>Medium</w:t>
            </w:r>
          </w:p>
          <w:p w14:paraId="097EC9B7" w14:textId="77777777" w:rsidR="00DE7F8D" w:rsidRPr="005D40C5" w:rsidRDefault="00DE7F8D" w:rsidP="001474B8">
            <w:pPr>
              <w:pStyle w:val="Body"/>
              <w:spacing w:after="0" w:line="240" w:lineRule="auto"/>
              <w:jc w:val="center"/>
            </w:pPr>
            <w:r w:rsidRPr="005D40C5">
              <w:rPr>
                <w:b/>
                <w:bCs/>
                <w:color w:val="FFFFFF"/>
                <w:sz w:val="16"/>
                <w:szCs w:val="16"/>
                <w:u w:color="FFFFFF"/>
              </w:rPr>
              <w:t>(8)</w:t>
            </w:r>
          </w:p>
        </w:tc>
        <w:tc>
          <w:tcPr>
            <w:tcW w:w="804" w:type="pct"/>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097EC9B8" w14:textId="77777777" w:rsidR="00DE7F8D" w:rsidRPr="005D40C5" w:rsidRDefault="00DE7F8D" w:rsidP="001474B8">
            <w:pPr>
              <w:pStyle w:val="Body"/>
              <w:spacing w:after="0" w:line="240" w:lineRule="auto"/>
              <w:jc w:val="center"/>
              <w:rPr>
                <w:b/>
                <w:bCs/>
                <w:color w:val="auto"/>
                <w:sz w:val="16"/>
                <w:szCs w:val="16"/>
                <w:u w:color="44546A"/>
              </w:rPr>
            </w:pPr>
            <w:r w:rsidRPr="005D40C5">
              <w:rPr>
                <w:b/>
                <w:bCs/>
                <w:color w:val="auto"/>
                <w:sz w:val="16"/>
                <w:szCs w:val="16"/>
                <w:u w:color="44546A"/>
              </w:rPr>
              <w:t>High</w:t>
            </w:r>
          </w:p>
          <w:p w14:paraId="097EC9B9" w14:textId="77777777" w:rsidR="00DE7F8D" w:rsidRPr="005D40C5" w:rsidRDefault="00DE7F8D" w:rsidP="001474B8">
            <w:pPr>
              <w:pStyle w:val="Body"/>
              <w:spacing w:after="0" w:line="240" w:lineRule="auto"/>
              <w:jc w:val="center"/>
            </w:pPr>
            <w:r w:rsidRPr="005D40C5">
              <w:rPr>
                <w:b/>
                <w:bCs/>
                <w:color w:val="auto"/>
                <w:sz w:val="16"/>
                <w:szCs w:val="16"/>
                <w:u w:color="44546A"/>
              </w:rPr>
              <w:t>(10)</w:t>
            </w:r>
          </w:p>
        </w:tc>
      </w:tr>
      <w:tr w:rsidR="001474B8" w:rsidRPr="005D40C5" w14:paraId="097EC9C7" w14:textId="77777777" w:rsidTr="001833C1">
        <w:trPr>
          <w:trHeight w:val="226"/>
        </w:trPr>
        <w:tc>
          <w:tcPr>
            <w:tcW w:w="252" w:type="pct"/>
            <w:vMerge/>
            <w:tcBorders>
              <w:left w:val="single" w:sz="4" w:space="0" w:color="000000"/>
              <w:bottom w:val="single" w:sz="4" w:space="0" w:color="000000"/>
              <w:right w:val="single" w:sz="4" w:space="0" w:color="000000"/>
            </w:tcBorders>
            <w:shd w:val="clear" w:color="auto" w:fill="auto"/>
          </w:tcPr>
          <w:p w14:paraId="097EC9BB" w14:textId="77777777" w:rsidR="00DE7F8D" w:rsidRPr="005D40C5" w:rsidRDefault="00DE7F8D" w:rsidP="001474B8">
            <w:pPr>
              <w:pStyle w:val="Body"/>
              <w:spacing w:after="0" w:line="240" w:lineRule="auto"/>
              <w:rPr>
                <w:b/>
                <w:bCs/>
                <w:color w:val="auto"/>
                <w:sz w:val="16"/>
                <w:szCs w:val="16"/>
                <w:u w:color="FFFFFF"/>
              </w:rPr>
            </w:pP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EC9BC" w14:textId="77777777" w:rsidR="00DE7F8D" w:rsidRPr="005D40C5" w:rsidRDefault="00DE7F8D" w:rsidP="001474B8">
            <w:pPr>
              <w:pStyle w:val="Body"/>
              <w:spacing w:after="0" w:line="240" w:lineRule="auto"/>
              <w:jc w:val="center"/>
              <w:rPr>
                <w:color w:val="auto"/>
              </w:rPr>
            </w:pPr>
            <w:r w:rsidRPr="005D40C5">
              <w:rPr>
                <w:b/>
                <w:bCs/>
                <w:color w:val="auto"/>
                <w:sz w:val="16"/>
                <w:szCs w:val="16"/>
                <w:u w:color="FFFFFF"/>
              </w:rPr>
              <w:t>Rare (1)</w:t>
            </w:r>
          </w:p>
        </w:tc>
        <w:tc>
          <w:tcPr>
            <w:tcW w:w="804" w:type="pct"/>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vAlign w:val="center"/>
          </w:tcPr>
          <w:p w14:paraId="097EC9BD" w14:textId="77777777" w:rsidR="00DE7F8D" w:rsidRPr="005D40C5" w:rsidRDefault="00DE7F8D" w:rsidP="001474B8">
            <w:pPr>
              <w:pStyle w:val="Body"/>
              <w:spacing w:after="0" w:line="240" w:lineRule="auto"/>
              <w:jc w:val="center"/>
              <w:rPr>
                <w:b/>
                <w:bCs/>
                <w:color w:val="FFFFFF"/>
                <w:sz w:val="16"/>
                <w:szCs w:val="16"/>
                <w:u w:color="44546A"/>
              </w:rPr>
            </w:pPr>
            <w:r w:rsidRPr="005D40C5">
              <w:rPr>
                <w:b/>
                <w:bCs/>
                <w:color w:val="FFFFFF"/>
                <w:sz w:val="16"/>
                <w:szCs w:val="16"/>
                <w:u w:color="44546A"/>
              </w:rPr>
              <w:t>Low</w:t>
            </w:r>
          </w:p>
          <w:p w14:paraId="097EC9BE" w14:textId="77777777" w:rsidR="00DE7F8D" w:rsidRPr="005D40C5" w:rsidRDefault="00DE7F8D" w:rsidP="001474B8">
            <w:pPr>
              <w:pStyle w:val="Body"/>
              <w:spacing w:after="0" w:line="240" w:lineRule="auto"/>
              <w:jc w:val="center"/>
              <w:rPr>
                <w:color w:val="FFFFFF"/>
              </w:rPr>
            </w:pPr>
            <w:r w:rsidRPr="005D40C5">
              <w:rPr>
                <w:b/>
                <w:bCs/>
                <w:color w:val="FFFFFF"/>
                <w:sz w:val="16"/>
                <w:szCs w:val="16"/>
                <w:u w:color="44546A"/>
              </w:rPr>
              <w:t>(1)</w:t>
            </w:r>
          </w:p>
        </w:tc>
        <w:tc>
          <w:tcPr>
            <w:tcW w:w="804" w:type="pct"/>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vAlign w:val="center"/>
          </w:tcPr>
          <w:p w14:paraId="097EC9BF" w14:textId="77777777" w:rsidR="00DE7F8D" w:rsidRPr="005D40C5" w:rsidRDefault="00DE7F8D" w:rsidP="001474B8">
            <w:pPr>
              <w:pStyle w:val="Body"/>
              <w:spacing w:after="0" w:line="240" w:lineRule="auto"/>
              <w:jc w:val="center"/>
              <w:rPr>
                <w:b/>
                <w:bCs/>
                <w:color w:val="FFFFFF"/>
                <w:sz w:val="16"/>
                <w:szCs w:val="16"/>
                <w:u w:color="44546A"/>
              </w:rPr>
            </w:pPr>
            <w:r w:rsidRPr="005D40C5">
              <w:rPr>
                <w:b/>
                <w:bCs/>
                <w:color w:val="FFFFFF"/>
                <w:sz w:val="16"/>
                <w:szCs w:val="16"/>
                <w:u w:color="44546A"/>
              </w:rPr>
              <w:t>Low</w:t>
            </w:r>
          </w:p>
          <w:p w14:paraId="097EC9C0" w14:textId="77777777" w:rsidR="00DE7F8D" w:rsidRPr="005D40C5" w:rsidRDefault="00DE7F8D" w:rsidP="001474B8">
            <w:pPr>
              <w:pStyle w:val="Body"/>
              <w:spacing w:after="0" w:line="240" w:lineRule="auto"/>
              <w:jc w:val="center"/>
              <w:rPr>
                <w:color w:val="FFFFFF"/>
              </w:rPr>
            </w:pPr>
            <w:r w:rsidRPr="005D40C5">
              <w:rPr>
                <w:b/>
                <w:bCs/>
                <w:color w:val="FFFFFF"/>
                <w:sz w:val="16"/>
                <w:szCs w:val="16"/>
                <w:u w:color="44546A"/>
              </w:rPr>
              <w:t>(2)</w:t>
            </w:r>
          </w:p>
        </w:tc>
        <w:tc>
          <w:tcPr>
            <w:tcW w:w="804" w:type="pct"/>
            <w:tcBorders>
              <w:top w:val="single" w:sz="4" w:space="0" w:color="000000"/>
              <w:left w:val="single" w:sz="4" w:space="0" w:color="000000"/>
              <w:bottom w:val="single" w:sz="4" w:space="0" w:color="000000"/>
              <w:right w:val="single" w:sz="4" w:space="0" w:color="000000"/>
            </w:tcBorders>
            <w:shd w:val="clear" w:color="auto" w:fill="0000FF"/>
            <w:tcMar>
              <w:top w:w="80" w:type="dxa"/>
              <w:left w:w="80" w:type="dxa"/>
              <w:bottom w:w="80" w:type="dxa"/>
              <w:right w:w="80" w:type="dxa"/>
            </w:tcMar>
            <w:vAlign w:val="center"/>
          </w:tcPr>
          <w:p w14:paraId="097EC9C1" w14:textId="77777777" w:rsidR="00DE7F8D" w:rsidRPr="005D40C5" w:rsidRDefault="00DE7F8D" w:rsidP="001474B8">
            <w:pPr>
              <w:pStyle w:val="Body"/>
              <w:spacing w:after="0" w:line="240" w:lineRule="auto"/>
              <w:jc w:val="center"/>
              <w:rPr>
                <w:b/>
                <w:bCs/>
                <w:color w:val="FFFFFF"/>
                <w:sz w:val="16"/>
                <w:szCs w:val="16"/>
                <w:u w:color="FFFFFF"/>
              </w:rPr>
            </w:pPr>
            <w:r w:rsidRPr="005D40C5">
              <w:rPr>
                <w:b/>
                <w:bCs/>
                <w:color w:val="FFFFFF"/>
                <w:sz w:val="16"/>
                <w:szCs w:val="16"/>
                <w:u w:color="FFFFFF"/>
              </w:rPr>
              <w:t>Medium</w:t>
            </w:r>
          </w:p>
          <w:p w14:paraId="097EC9C2" w14:textId="77777777" w:rsidR="00DE7F8D" w:rsidRPr="005D40C5" w:rsidRDefault="00DE7F8D" w:rsidP="001474B8">
            <w:pPr>
              <w:pStyle w:val="Body"/>
              <w:spacing w:after="0" w:line="240" w:lineRule="auto"/>
              <w:jc w:val="center"/>
            </w:pPr>
            <w:r w:rsidRPr="005D40C5">
              <w:rPr>
                <w:b/>
                <w:bCs/>
                <w:color w:val="FFFFFF"/>
                <w:sz w:val="16"/>
                <w:szCs w:val="16"/>
                <w:u w:color="FFFFFF"/>
              </w:rPr>
              <w:t>(3)</w:t>
            </w:r>
          </w:p>
        </w:tc>
        <w:tc>
          <w:tcPr>
            <w:tcW w:w="804" w:type="pct"/>
            <w:tcBorders>
              <w:top w:val="single" w:sz="4" w:space="0" w:color="000000"/>
              <w:left w:val="single" w:sz="4" w:space="0" w:color="000000"/>
              <w:bottom w:val="single" w:sz="4" w:space="0" w:color="000000"/>
              <w:right w:val="single" w:sz="4" w:space="0" w:color="000000"/>
            </w:tcBorders>
            <w:shd w:val="clear" w:color="auto" w:fill="0000FF"/>
            <w:tcMar>
              <w:top w:w="80" w:type="dxa"/>
              <w:left w:w="80" w:type="dxa"/>
              <w:bottom w:w="80" w:type="dxa"/>
              <w:right w:w="80" w:type="dxa"/>
            </w:tcMar>
            <w:vAlign w:val="center"/>
          </w:tcPr>
          <w:p w14:paraId="097EC9C3" w14:textId="77777777" w:rsidR="00DE7F8D" w:rsidRPr="005D40C5" w:rsidRDefault="00DE7F8D" w:rsidP="001474B8">
            <w:pPr>
              <w:pStyle w:val="Body"/>
              <w:spacing w:after="0" w:line="240" w:lineRule="auto"/>
              <w:jc w:val="center"/>
              <w:rPr>
                <w:b/>
                <w:bCs/>
                <w:color w:val="FFFFFF"/>
                <w:sz w:val="16"/>
                <w:szCs w:val="16"/>
                <w:u w:color="FFFFFF"/>
              </w:rPr>
            </w:pPr>
            <w:r w:rsidRPr="005D40C5">
              <w:rPr>
                <w:b/>
                <w:bCs/>
                <w:color w:val="FFFFFF"/>
                <w:sz w:val="16"/>
                <w:szCs w:val="16"/>
                <w:u w:color="FFFFFF"/>
              </w:rPr>
              <w:t>Medium</w:t>
            </w:r>
          </w:p>
          <w:p w14:paraId="097EC9C4" w14:textId="77777777" w:rsidR="00DE7F8D" w:rsidRPr="005D40C5" w:rsidRDefault="00DE7F8D" w:rsidP="001474B8">
            <w:pPr>
              <w:pStyle w:val="Body"/>
              <w:spacing w:after="0" w:line="240" w:lineRule="auto"/>
              <w:jc w:val="center"/>
            </w:pPr>
            <w:r w:rsidRPr="005D40C5">
              <w:rPr>
                <w:b/>
                <w:bCs/>
                <w:color w:val="FFFFFF"/>
                <w:sz w:val="16"/>
                <w:szCs w:val="16"/>
                <w:u w:color="FFFFFF"/>
              </w:rPr>
              <w:t>(4)</w:t>
            </w:r>
          </w:p>
        </w:tc>
        <w:tc>
          <w:tcPr>
            <w:tcW w:w="804" w:type="pct"/>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097EC9C5" w14:textId="77777777" w:rsidR="00DE7F8D" w:rsidRPr="005D40C5" w:rsidRDefault="00DE7F8D" w:rsidP="001474B8">
            <w:pPr>
              <w:pStyle w:val="Body"/>
              <w:spacing w:after="0" w:line="240" w:lineRule="auto"/>
              <w:jc w:val="center"/>
              <w:rPr>
                <w:b/>
                <w:bCs/>
                <w:color w:val="auto"/>
                <w:sz w:val="16"/>
                <w:szCs w:val="16"/>
                <w:u w:color="44546A"/>
              </w:rPr>
            </w:pPr>
            <w:r w:rsidRPr="005D40C5">
              <w:rPr>
                <w:b/>
                <w:bCs/>
                <w:color w:val="auto"/>
                <w:sz w:val="16"/>
                <w:szCs w:val="16"/>
                <w:u w:color="44546A"/>
              </w:rPr>
              <w:t>High</w:t>
            </w:r>
          </w:p>
          <w:p w14:paraId="097EC9C6" w14:textId="77777777" w:rsidR="00DE7F8D" w:rsidRPr="005D40C5" w:rsidRDefault="00DE7F8D" w:rsidP="001474B8">
            <w:pPr>
              <w:pStyle w:val="Body"/>
              <w:spacing w:after="0" w:line="240" w:lineRule="auto"/>
              <w:jc w:val="center"/>
            </w:pPr>
            <w:r w:rsidRPr="005D40C5">
              <w:rPr>
                <w:b/>
                <w:bCs/>
                <w:color w:val="auto"/>
                <w:sz w:val="16"/>
                <w:szCs w:val="16"/>
                <w:u w:color="44546A"/>
              </w:rPr>
              <w:t>(5)</w:t>
            </w:r>
          </w:p>
        </w:tc>
      </w:tr>
    </w:tbl>
    <w:p w14:paraId="097EC9C8" w14:textId="77777777" w:rsidR="006B52EB" w:rsidRPr="005D40C5" w:rsidRDefault="006B52EB" w:rsidP="001833C1">
      <w:pPr>
        <w:pStyle w:val="Body"/>
        <w:rPr>
          <w:i/>
        </w:rPr>
      </w:pPr>
    </w:p>
    <w:p w14:paraId="097EC9C9" w14:textId="77777777" w:rsidR="00046362" w:rsidRPr="005D40C5" w:rsidRDefault="00170BDA" w:rsidP="001833C1">
      <w:pPr>
        <w:pStyle w:val="Body"/>
        <w:rPr>
          <w:i/>
        </w:rPr>
      </w:pPr>
      <w:r w:rsidRPr="005D40C5">
        <w:rPr>
          <w:i/>
        </w:rPr>
        <w:t xml:space="preserve">A </w:t>
      </w:r>
      <w:r w:rsidR="001833C1" w:rsidRPr="005D40C5">
        <w:rPr>
          <w:i/>
        </w:rPr>
        <w:t>risk ranking matrix would capture the hierarchy of risk at different levels, allowing an assessment of the most appropriate responses to the identified risks, particularly to those risks most likely to impede success (very high and high).</w:t>
      </w:r>
    </w:p>
    <w:p w14:paraId="097EC9CA" w14:textId="77777777" w:rsidR="00046362" w:rsidRPr="005D40C5" w:rsidRDefault="00046362" w:rsidP="00046362">
      <w:pPr>
        <w:rPr>
          <w:i/>
          <w:lang w:val="en"/>
        </w:rPr>
      </w:pPr>
      <w:r w:rsidRPr="005D40C5">
        <w:rPr>
          <w:b/>
          <w:i/>
          <w:lang w:val="en"/>
        </w:rPr>
        <w:t>A</w:t>
      </w:r>
      <w:r w:rsidR="00A80FEC" w:rsidRPr="005D40C5">
        <w:rPr>
          <w:b/>
          <w:i/>
          <w:lang w:val="en"/>
        </w:rPr>
        <w:t>ccountability</w:t>
      </w:r>
    </w:p>
    <w:p w14:paraId="097EC9CB" w14:textId="77777777" w:rsidR="003C08D1" w:rsidRPr="005D40C5" w:rsidRDefault="00046362" w:rsidP="00FA746E">
      <w:pPr>
        <w:rPr>
          <w:i/>
          <w:lang w:val="en"/>
        </w:rPr>
      </w:pPr>
      <w:r w:rsidRPr="005D40C5">
        <w:rPr>
          <w:i/>
          <w:lang w:val="en"/>
        </w:rPr>
        <w:t>The provisions are specified in the legal instruments governin</w:t>
      </w:r>
      <w:r w:rsidR="00575514" w:rsidRPr="005D40C5">
        <w:rPr>
          <w:i/>
          <w:lang w:val="en"/>
        </w:rPr>
        <w:t xml:space="preserve">g the Fund (MOU, MOA and SAA), and ensure a clear understanding with regards to programmatic and financial accountability of all stakeholders in the course of implementation. In addition to specifying the applicable rules and procedures this section can provide for any special arrangements in case the fund includes windows for </w:t>
      </w:r>
      <w:r w:rsidR="00B45EC6" w:rsidRPr="005D40C5">
        <w:rPr>
          <w:i/>
          <w:lang w:val="en"/>
        </w:rPr>
        <w:t>non-UN stakeholders.</w:t>
      </w:r>
    </w:p>
    <w:p w14:paraId="097EC9CC" w14:textId="77777777" w:rsidR="00B03F17" w:rsidRPr="005D40C5" w:rsidRDefault="00B03F17" w:rsidP="00FA746E">
      <w:pPr>
        <w:tabs>
          <w:tab w:val="left" w:pos="540"/>
          <w:tab w:val="left" w:pos="864"/>
          <w:tab w:val="left" w:pos="1584"/>
          <w:tab w:val="left" w:pos="2304"/>
        </w:tabs>
        <w:suppressAutoHyphens/>
        <w:rPr>
          <w:b/>
          <w:bCs/>
          <w:iCs/>
          <w:spacing w:val="-2"/>
          <w:u w:val="single"/>
        </w:rPr>
      </w:pPr>
    </w:p>
    <w:p w14:paraId="097EC9CD" w14:textId="77777777" w:rsidR="0044112F" w:rsidRPr="005D40C5" w:rsidRDefault="0044112F" w:rsidP="0044112F">
      <w:pPr>
        <w:tabs>
          <w:tab w:val="left" w:pos="540"/>
          <w:tab w:val="left" w:pos="864"/>
          <w:tab w:val="left" w:pos="1584"/>
          <w:tab w:val="left" w:pos="2304"/>
        </w:tabs>
        <w:suppressAutoHyphens/>
        <w:jc w:val="center"/>
        <w:rPr>
          <w:b/>
          <w:bCs/>
          <w:iCs/>
          <w:spacing w:val="-2"/>
          <w:u w:val="single"/>
        </w:rPr>
      </w:pPr>
      <w:r w:rsidRPr="005D40C5">
        <w:rPr>
          <w:b/>
          <w:bCs/>
          <w:iCs/>
          <w:spacing w:val="-2"/>
          <w:u w:val="single"/>
        </w:rPr>
        <w:t>V</w:t>
      </w:r>
      <w:r w:rsidR="00170BDA" w:rsidRPr="005D40C5">
        <w:rPr>
          <w:b/>
          <w:bCs/>
          <w:iCs/>
          <w:spacing w:val="-2"/>
          <w:u w:val="single"/>
        </w:rPr>
        <w:t>I</w:t>
      </w:r>
      <w:r w:rsidRPr="005D40C5">
        <w:rPr>
          <w:b/>
          <w:bCs/>
          <w:iCs/>
          <w:spacing w:val="-2"/>
          <w:u w:val="single"/>
        </w:rPr>
        <w:t>. Reporting</w:t>
      </w:r>
      <w:r w:rsidR="00272318" w:rsidRPr="005D40C5">
        <w:rPr>
          <w:b/>
          <w:bCs/>
          <w:iCs/>
          <w:spacing w:val="-2"/>
          <w:u w:val="single"/>
        </w:rPr>
        <w:t xml:space="preserve"> </w:t>
      </w:r>
    </w:p>
    <w:p w14:paraId="097EC9CE" w14:textId="77777777" w:rsidR="0044112F" w:rsidRPr="005D40C5" w:rsidRDefault="00C275CE" w:rsidP="00FA746E">
      <w:pPr>
        <w:tabs>
          <w:tab w:val="left" w:pos="540"/>
        </w:tabs>
        <w:autoSpaceDE w:val="0"/>
        <w:autoSpaceDN w:val="0"/>
        <w:adjustRightInd w:val="0"/>
        <w:jc w:val="both"/>
        <w:rPr>
          <w:i/>
        </w:rPr>
      </w:pPr>
      <w:r w:rsidRPr="005D40C5">
        <w:rPr>
          <w:i/>
        </w:rPr>
        <w:t xml:space="preserve">This section outlines the reporting arrangements for the Fund. </w:t>
      </w:r>
      <w:r w:rsidR="0044112F" w:rsidRPr="005D40C5">
        <w:rPr>
          <w:i/>
        </w:rPr>
        <w:t xml:space="preserve">For each </w:t>
      </w:r>
      <w:r w:rsidR="00712DC7" w:rsidRPr="005D40C5">
        <w:rPr>
          <w:i/>
        </w:rPr>
        <w:t>project</w:t>
      </w:r>
      <w:r w:rsidR="0044112F" w:rsidRPr="005D40C5">
        <w:rPr>
          <w:i/>
        </w:rPr>
        <w:t xml:space="preserve"> </w:t>
      </w:r>
      <w:r w:rsidR="009C56F1" w:rsidRPr="005D40C5">
        <w:rPr>
          <w:i/>
        </w:rPr>
        <w:t>the</w:t>
      </w:r>
      <w:r w:rsidR="00712DC7" w:rsidRPr="005D40C5">
        <w:rPr>
          <w:i/>
        </w:rPr>
        <w:t xml:space="preserve"> implementing o</w:t>
      </w:r>
      <w:r w:rsidR="0044112F" w:rsidRPr="005D40C5">
        <w:rPr>
          <w:i/>
        </w:rPr>
        <w:t xml:space="preserve">rganization will provide the </w:t>
      </w:r>
      <w:r w:rsidR="009C56F1" w:rsidRPr="005D40C5">
        <w:rPr>
          <w:i/>
        </w:rPr>
        <w:t xml:space="preserve">SC </w:t>
      </w:r>
      <w:r w:rsidR="008C37C1" w:rsidRPr="005D40C5">
        <w:rPr>
          <w:i/>
        </w:rPr>
        <w:t>S</w:t>
      </w:r>
      <w:r w:rsidR="009C56F1" w:rsidRPr="005D40C5">
        <w:rPr>
          <w:i/>
        </w:rPr>
        <w:t xml:space="preserve">upport </w:t>
      </w:r>
      <w:r w:rsidR="008C37C1" w:rsidRPr="005D40C5">
        <w:rPr>
          <w:i/>
        </w:rPr>
        <w:t>O</w:t>
      </w:r>
      <w:r w:rsidR="009C56F1" w:rsidRPr="005D40C5">
        <w:rPr>
          <w:i/>
        </w:rPr>
        <w:t xml:space="preserve">ffice/Technical </w:t>
      </w:r>
      <w:r w:rsidR="0044112F" w:rsidRPr="005D40C5">
        <w:rPr>
          <w:i/>
        </w:rPr>
        <w:t>Secretariat and the Administrative Agent with annual and final reports and financial statements prepared in accordance with their accounting and reporting procedures</w:t>
      </w:r>
      <w:r w:rsidR="00712DC7" w:rsidRPr="005D40C5">
        <w:rPr>
          <w:i/>
        </w:rPr>
        <w:t xml:space="preserve"> in line with standard UNDG MOU/SAA.</w:t>
      </w:r>
      <w:r w:rsidR="00B339D8" w:rsidRPr="005D40C5">
        <w:rPr>
          <w:i/>
        </w:rPr>
        <w:t xml:space="preserve"> If any interim reporting is required then this should be noted as the responsibility of the Technical Secretariat</w:t>
      </w:r>
    </w:p>
    <w:p w14:paraId="097EC9CF" w14:textId="77777777" w:rsidR="009C56F1" w:rsidRPr="005D40C5" w:rsidRDefault="0044112F" w:rsidP="0044112F">
      <w:pPr>
        <w:jc w:val="both"/>
        <w:rPr>
          <w:i/>
          <w:lang w:eastAsia="ja-JP"/>
        </w:rPr>
      </w:pPr>
      <w:r w:rsidRPr="005D40C5">
        <w:rPr>
          <w:i/>
          <w:lang w:eastAsia="ja-JP"/>
        </w:rPr>
        <w:t>T</w:t>
      </w:r>
      <w:r w:rsidR="009C56F1" w:rsidRPr="005D40C5">
        <w:rPr>
          <w:i/>
          <w:lang w:eastAsia="ja-JP"/>
        </w:rPr>
        <w:t>ypically t</w:t>
      </w:r>
      <w:r w:rsidRPr="005D40C5">
        <w:rPr>
          <w:i/>
          <w:lang w:eastAsia="ja-JP"/>
        </w:rPr>
        <w:t>he annual and final reports will be results-oriented and evidence based</w:t>
      </w:r>
      <w:r w:rsidR="009C56F1" w:rsidRPr="005D40C5">
        <w:rPr>
          <w:i/>
          <w:lang w:eastAsia="ja-JP"/>
        </w:rPr>
        <w:t>, and</w:t>
      </w:r>
      <w:r w:rsidRPr="005D40C5">
        <w:rPr>
          <w:i/>
          <w:lang w:eastAsia="ja-JP"/>
        </w:rPr>
        <w:t xml:space="preserve"> will give a summary of results and achievements compared to the goals and objectives of the approved </w:t>
      </w:r>
      <w:r w:rsidR="00712DC7" w:rsidRPr="005D40C5">
        <w:rPr>
          <w:i/>
          <w:lang w:eastAsia="ja-JP"/>
        </w:rPr>
        <w:t>r</w:t>
      </w:r>
      <w:r w:rsidRPr="005D40C5">
        <w:rPr>
          <w:i/>
          <w:lang w:eastAsia="ja-JP"/>
        </w:rPr>
        <w:t xml:space="preserve">esult </w:t>
      </w:r>
      <w:r w:rsidR="00712DC7" w:rsidRPr="005D40C5">
        <w:rPr>
          <w:i/>
          <w:lang w:eastAsia="ja-JP"/>
        </w:rPr>
        <w:t>m</w:t>
      </w:r>
      <w:r w:rsidRPr="005D40C5">
        <w:rPr>
          <w:i/>
          <w:lang w:eastAsia="ja-JP"/>
        </w:rPr>
        <w:t xml:space="preserve">atrix in the programme document aligned with the </w:t>
      </w:r>
      <w:r w:rsidR="00712DC7" w:rsidRPr="005D40C5">
        <w:rPr>
          <w:i/>
          <w:lang w:eastAsia="ja-JP"/>
        </w:rPr>
        <w:t>f</w:t>
      </w:r>
      <w:r w:rsidRPr="005D40C5">
        <w:rPr>
          <w:i/>
          <w:lang w:eastAsia="ja-JP"/>
        </w:rPr>
        <w:t xml:space="preserve">und </w:t>
      </w:r>
      <w:r w:rsidR="00712DC7" w:rsidRPr="005D40C5">
        <w:rPr>
          <w:i/>
          <w:lang w:eastAsia="ja-JP"/>
        </w:rPr>
        <w:t>r</w:t>
      </w:r>
      <w:r w:rsidRPr="005D40C5">
        <w:rPr>
          <w:i/>
          <w:lang w:eastAsia="ja-JP"/>
        </w:rPr>
        <w:t xml:space="preserve">esult </w:t>
      </w:r>
      <w:r w:rsidR="00712DC7" w:rsidRPr="005D40C5">
        <w:rPr>
          <w:i/>
          <w:lang w:eastAsia="ja-JP"/>
        </w:rPr>
        <w:t>m</w:t>
      </w:r>
      <w:r w:rsidRPr="005D40C5">
        <w:rPr>
          <w:i/>
          <w:lang w:eastAsia="ja-JP"/>
        </w:rPr>
        <w:t xml:space="preserve">atrix. </w:t>
      </w:r>
    </w:p>
    <w:p w14:paraId="097EC9D0" w14:textId="77777777" w:rsidR="009C56F1" w:rsidRPr="005D40C5" w:rsidRDefault="0044112F" w:rsidP="0044112F">
      <w:pPr>
        <w:jc w:val="both"/>
        <w:rPr>
          <w:i/>
        </w:rPr>
      </w:pPr>
      <w:r w:rsidRPr="005D40C5">
        <w:rPr>
          <w:i/>
        </w:rPr>
        <w:t xml:space="preserve">Both programmatic and financial performance indicators will be monitored at the </w:t>
      </w:r>
      <w:r w:rsidR="00712DC7" w:rsidRPr="005D40C5">
        <w:rPr>
          <w:i/>
        </w:rPr>
        <w:t>o</w:t>
      </w:r>
      <w:r w:rsidRPr="005D40C5">
        <w:rPr>
          <w:i/>
        </w:rPr>
        <w:t xml:space="preserve">utcome and </w:t>
      </w:r>
      <w:r w:rsidR="00712DC7" w:rsidRPr="005D40C5">
        <w:rPr>
          <w:i/>
        </w:rPr>
        <w:t>o</w:t>
      </w:r>
      <w:r w:rsidRPr="005D40C5">
        <w:rPr>
          <w:i/>
        </w:rPr>
        <w:t>utput level (</w:t>
      </w:r>
      <w:r w:rsidR="00712DC7" w:rsidRPr="005D40C5">
        <w:rPr>
          <w:i/>
        </w:rPr>
        <w:t>f</w:t>
      </w:r>
      <w:r w:rsidRPr="005D40C5">
        <w:rPr>
          <w:i/>
        </w:rPr>
        <w:t xml:space="preserve">und and project </w:t>
      </w:r>
      <w:r w:rsidR="00712DC7" w:rsidRPr="005D40C5">
        <w:rPr>
          <w:i/>
        </w:rPr>
        <w:t>l</w:t>
      </w:r>
      <w:r w:rsidRPr="005D40C5">
        <w:rPr>
          <w:i/>
        </w:rPr>
        <w:t xml:space="preserve">evel). Every </w:t>
      </w:r>
      <w:r w:rsidR="009C56F1" w:rsidRPr="005D40C5">
        <w:rPr>
          <w:i/>
        </w:rPr>
        <w:t>project</w:t>
      </w:r>
      <w:r w:rsidRPr="005D40C5">
        <w:rPr>
          <w:i/>
        </w:rPr>
        <w:t xml:space="preserve"> would monitor the key outcome indicators of the Fund to which it must contribute</w:t>
      </w:r>
      <w:r w:rsidR="009C56F1" w:rsidRPr="005D40C5">
        <w:rPr>
          <w:i/>
        </w:rPr>
        <w:t>s</w:t>
      </w:r>
      <w:r w:rsidRPr="005D40C5">
        <w:rPr>
          <w:i/>
        </w:rPr>
        <w:t xml:space="preserve"> in accordance with the Fund Result Matrix. The output indicators would be specific to each </w:t>
      </w:r>
      <w:r w:rsidR="009C56F1" w:rsidRPr="005D40C5">
        <w:rPr>
          <w:i/>
        </w:rPr>
        <w:t>project</w:t>
      </w:r>
      <w:r w:rsidRPr="005D40C5">
        <w:rPr>
          <w:i/>
        </w:rPr>
        <w:t xml:space="preserve">. </w:t>
      </w:r>
    </w:p>
    <w:p w14:paraId="097EC9D1" w14:textId="77777777" w:rsidR="009C56F1" w:rsidRPr="005D40C5" w:rsidRDefault="0044112F" w:rsidP="00FA746E">
      <w:pPr>
        <w:jc w:val="both"/>
        <w:rPr>
          <w:i/>
        </w:rPr>
      </w:pPr>
      <w:r w:rsidRPr="005D40C5">
        <w:rPr>
          <w:i/>
        </w:rPr>
        <w:t>The prime responsibility for</w:t>
      </w:r>
      <w:r w:rsidR="009C56F1" w:rsidRPr="005D40C5">
        <w:rPr>
          <w:i/>
        </w:rPr>
        <w:t xml:space="preserve"> collecting data lies with the implementing o</w:t>
      </w:r>
      <w:r w:rsidRPr="005D40C5">
        <w:rPr>
          <w:i/>
        </w:rPr>
        <w:t xml:space="preserve">rganisations and will be one of the key elements reflected in their annual report. The </w:t>
      </w:r>
      <w:r w:rsidR="009C56F1" w:rsidRPr="005D40C5">
        <w:rPr>
          <w:i/>
        </w:rPr>
        <w:t xml:space="preserve">SC </w:t>
      </w:r>
      <w:r w:rsidR="008C37C1" w:rsidRPr="005D40C5">
        <w:rPr>
          <w:i/>
        </w:rPr>
        <w:t>S</w:t>
      </w:r>
      <w:r w:rsidR="009C56F1" w:rsidRPr="005D40C5">
        <w:rPr>
          <w:i/>
        </w:rPr>
        <w:t xml:space="preserve">upport </w:t>
      </w:r>
      <w:r w:rsidR="008C37C1" w:rsidRPr="005D40C5">
        <w:rPr>
          <w:i/>
        </w:rPr>
        <w:t>O</w:t>
      </w:r>
      <w:r w:rsidR="009C56F1" w:rsidRPr="005D40C5">
        <w:rPr>
          <w:i/>
        </w:rPr>
        <w:t xml:space="preserve">ffice/Technical </w:t>
      </w:r>
      <w:r w:rsidRPr="005D40C5">
        <w:rPr>
          <w:i/>
        </w:rPr>
        <w:t>Secretariat will be responsible for coordinating the data collection and ensuring the proper use of the reporting format.</w:t>
      </w:r>
    </w:p>
    <w:p w14:paraId="097EC9D2" w14:textId="77777777" w:rsidR="0044112F" w:rsidRDefault="009C56F1" w:rsidP="00FA746E">
      <w:pPr>
        <w:jc w:val="both"/>
        <w:rPr>
          <w:i/>
        </w:rPr>
      </w:pPr>
      <w:r w:rsidRPr="005D40C5">
        <w:rPr>
          <w:i/>
        </w:rPr>
        <w:t>The final report will also contain an analysis of how the outcomes and outputs have contributed to the overall impact.</w:t>
      </w:r>
    </w:p>
    <w:p w14:paraId="097EC9D3" w14:textId="77777777" w:rsidR="005A1502" w:rsidRDefault="005A1502" w:rsidP="007413ED">
      <w:pPr>
        <w:tabs>
          <w:tab w:val="left" w:pos="540"/>
          <w:tab w:val="left" w:pos="864"/>
          <w:tab w:val="left" w:pos="1584"/>
          <w:tab w:val="left" w:pos="2304"/>
        </w:tabs>
        <w:suppressAutoHyphens/>
        <w:jc w:val="center"/>
        <w:rPr>
          <w:b/>
          <w:bCs/>
          <w:iCs/>
          <w:spacing w:val="-2"/>
          <w:u w:val="single"/>
        </w:rPr>
      </w:pPr>
    </w:p>
    <w:p w14:paraId="097EC9D4" w14:textId="77777777" w:rsidR="007413ED" w:rsidRPr="005D40C5" w:rsidRDefault="007413ED" w:rsidP="007413ED">
      <w:pPr>
        <w:tabs>
          <w:tab w:val="left" w:pos="540"/>
          <w:tab w:val="left" w:pos="864"/>
          <w:tab w:val="left" w:pos="1584"/>
          <w:tab w:val="left" w:pos="2304"/>
        </w:tabs>
        <w:suppressAutoHyphens/>
        <w:jc w:val="center"/>
        <w:rPr>
          <w:b/>
          <w:bCs/>
          <w:iCs/>
          <w:spacing w:val="-2"/>
          <w:u w:val="single"/>
        </w:rPr>
      </w:pPr>
      <w:r w:rsidRPr="005D40C5">
        <w:rPr>
          <w:b/>
          <w:bCs/>
          <w:iCs/>
          <w:spacing w:val="-2"/>
          <w:u w:val="single"/>
        </w:rPr>
        <w:t>V</w:t>
      </w:r>
      <w:r w:rsidR="00170BDA" w:rsidRPr="005D40C5">
        <w:rPr>
          <w:b/>
          <w:bCs/>
          <w:iCs/>
          <w:spacing w:val="-2"/>
          <w:u w:val="single"/>
        </w:rPr>
        <w:t>I</w:t>
      </w:r>
      <w:r w:rsidR="0044112F" w:rsidRPr="005D40C5">
        <w:rPr>
          <w:b/>
          <w:bCs/>
          <w:iCs/>
          <w:spacing w:val="-2"/>
          <w:u w:val="single"/>
        </w:rPr>
        <w:t>I</w:t>
      </w:r>
      <w:r w:rsidRPr="005D40C5">
        <w:rPr>
          <w:b/>
          <w:bCs/>
          <w:iCs/>
          <w:spacing w:val="-2"/>
          <w:u w:val="single"/>
        </w:rPr>
        <w:t xml:space="preserve">. </w:t>
      </w:r>
      <w:r w:rsidR="00C275CE" w:rsidRPr="005D40C5">
        <w:rPr>
          <w:b/>
          <w:bCs/>
          <w:iCs/>
          <w:spacing w:val="-2"/>
          <w:u w:val="single"/>
        </w:rPr>
        <w:t xml:space="preserve">Monitoring and </w:t>
      </w:r>
      <w:r w:rsidRPr="005D40C5">
        <w:rPr>
          <w:b/>
          <w:bCs/>
          <w:iCs/>
          <w:spacing w:val="-2"/>
          <w:u w:val="single"/>
        </w:rPr>
        <w:t>Evaluation</w:t>
      </w:r>
    </w:p>
    <w:p w14:paraId="097EC9D5" w14:textId="77777777" w:rsidR="007413ED" w:rsidRPr="005D40C5" w:rsidRDefault="00420E63" w:rsidP="007413ED">
      <w:pPr>
        <w:tabs>
          <w:tab w:val="left" w:pos="540"/>
        </w:tabs>
        <w:autoSpaceDE w:val="0"/>
        <w:autoSpaceDN w:val="0"/>
        <w:adjustRightInd w:val="0"/>
        <w:jc w:val="both"/>
        <w:rPr>
          <w:i/>
        </w:rPr>
      </w:pPr>
      <w:r w:rsidRPr="005D40C5">
        <w:rPr>
          <w:i/>
        </w:rPr>
        <w:t>This section describes</w:t>
      </w:r>
      <w:r w:rsidR="007413ED" w:rsidRPr="005D40C5">
        <w:rPr>
          <w:i/>
        </w:rPr>
        <w:t xml:space="preserve"> the </w:t>
      </w:r>
      <w:r w:rsidR="00C275CE" w:rsidRPr="005D40C5">
        <w:rPr>
          <w:i/>
        </w:rPr>
        <w:t xml:space="preserve">monitoring and </w:t>
      </w:r>
      <w:r w:rsidR="00D83596" w:rsidRPr="005D40C5">
        <w:rPr>
          <w:i/>
        </w:rPr>
        <w:t>evaluation</w:t>
      </w:r>
      <w:r w:rsidR="007413ED" w:rsidRPr="005D40C5">
        <w:rPr>
          <w:i/>
        </w:rPr>
        <w:t xml:space="preserve"> arrangements of the MDTF, in line with standard UNDG MOU/SAA.</w:t>
      </w:r>
      <w:r w:rsidR="009C56F1" w:rsidRPr="005D40C5">
        <w:rPr>
          <w:i/>
        </w:rPr>
        <w:t xml:space="preserve"> </w:t>
      </w:r>
      <w:r w:rsidR="00C275CE" w:rsidRPr="005D40C5">
        <w:rPr>
          <w:i/>
        </w:rPr>
        <w:t>An annual meeting with all stakeholders should be provided for to review progress, and discuss significant changes in circumstances and major risks,</w:t>
      </w:r>
      <w:r w:rsidR="00C275CE" w:rsidRPr="005D40C5">
        <w:t xml:space="preserve"> </w:t>
      </w:r>
      <w:r w:rsidR="00C275CE" w:rsidRPr="005D40C5">
        <w:rPr>
          <w:i/>
        </w:rPr>
        <w:t xml:space="preserve">and if </w:t>
      </w:r>
      <w:r w:rsidR="00342598" w:rsidRPr="005D40C5">
        <w:rPr>
          <w:i/>
        </w:rPr>
        <w:t>needed substantive</w:t>
      </w:r>
      <w:r w:rsidR="00C275CE" w:rsidRPr="005D40C5">
        <w:rPr>
          <w:i/>
        </w:rPr>
        <w:t xml:space="preserve"> revisions to the TOR. </w:t>
      </w:r>
      <w:r w:rsidR="009C56F1" w:rsidRPr="005D40C5">
        <w:rPr>
          <w:i/>
        </w:rPr>
        <w:t>The evaluation of the performance of each indicator will take external factors into account as well as the pre-identified assumptions and risks.</w:t>
      </w:r>
    </w:p>
    <w:p w14:paraId="097EC9D6" w14:textId="77777777" w:rsidR="008D4C90" w:rsidRPr="005D40C5" w:rsidRDefault="008D4C90" w:rsidP="007413ED">
      <w:pPr>
        <w:tabs>
          <w:tab w:val="left" w:pos="540"/>
        </w:tabs>
        <w:autoSpaceDE w:val="0"/>
        <w:autoSpaceDN w:val="0"/>
        <w:adjustRightInd w:val="0"/>
        <w:jc w:val="both"/>
        <w:rPr>
          <w:i/>
        </w:rPr>
      </w:pPr>
    </w:p>
    <w:p w14:paraId="097EC9D7" w14:textId="77777777" w:rsidR="007413ED" w:rsidRPr="005D40C5" w:rsidRDefault="007413ED" w:rsidP="007413ED">
      <w:pPr>
        <w:tabs>
          <w:tab w:val="left" w:pos="540"/>
          <w:tab w:val="left" w:pos="864"/>
          <w:tab w:val="left" w:pos="1584"/>
          <w:tab w:val="left" w:pos="2304"/>
        </w:tabs>
        <w:suppressAutoHyphens/>
        <w:jc w:val="center"/>
        <w:rPr>
          <w:b/>
          <w:bCs/>
          <w:iCs/>
          <w:spacing w:val="-2"/>
          <w:u w:val="single"/>
        </w:rPr>
      </w:pPr>
      <w:r w:rsidRPr="005D40C5">
        <w:rPr>
          <w:b/>
          <w:bCs/>
          <w:iCs/>
          <w:spacing w:val="-2"/>
          <w:u w:val="single"/>
        </w:rPr>
        <w:t>V</w:t>
      </w:r>
      <w:r w:rsidR="00170BDA" w:rsidRPr="005D40C5">
        <w:rPr>
          <w:b/>
          <w:bCs/>
          <w:iCs/>
          <w:spacing w:val="-2"/>
          <w:u w:val="single"/>
        </w:rPr>
        <w:t>I</w:t>
      </w:r>
      <w:r w:rsidRPr="005D40C5">
        <w:rPr>
          <w:b/>
          <w:bCs/>
          <w:iCs/>
          <w:spacing w:val="-2"/>
          <w:u w:val="single"/>
        </w:rPr>
        <w:t>I</w:t>
      </w:r>
      <w:r w:rsidR="0044112F" w:rsidRPr="005D40C5">
        <w:rPr>
          <w:b/>
          <w:bCs/>
          <w:iCs/>
          <w:spacing w:val="-2"/>
          <w:u w:val="single"/>
        </w:rPr>
        <w:t>I</w:t>
      </w:r>
      <w:r w:rsidRPr="005D40C5">
        <w:rPr>
          <w:b/>
          <w:bCs/>
          <w:iCs/>
          <w:spacing w:val="-2"/>
          <w:u w:val="single"/>
        </w:rPr>
        <w:t>. Audit</w:t>
      </w:r>
    </w:p>
    <w:p w14:paraId="097EC9D8" w14:textId="77777777" w:rsidR="00E11E57" w:rsidRPr="005D40C5" w:rsidRDefault="00420E63" w:rsidP="007413ED">
      <w:pPr>
        <w:tabs>
          <w:tab w:val="left" w:pos="540"/>
        </w:tabs>
        <w:autoSpaceDE w:val="0"/>
        <w:autoSpaceDN w:val="0"/>
        <w:adjustRightInd w:val="0"/>
        <w:jc w:val="both"/>
        <w:rPr>
          <w:i/>
          <w:lang w:val="en"/>
        </w:rPr>
      </w:pPr>
      <w:r w:rsidRPr="005D40C5">
        <w:rPr>
          <w:i/>
        </w:rPr>
        <w:t xml:space="preserve">This section refers </w:t>
      </w:r>
      <w:r w:rsidR="007413ED" w:rsidRPr="005D40C5">
        <w:rPr>
          <w:i/>
        </w:rPr>
        <w:t xml:space="preserve">to the audit provisions in the standard MOU and SAA, as well as </w:t>
      </w:r>
      <w:hyperlink r:id="rId11" w:history="1">
        <w:r w:rsidR="00012485" w:rsidRPr="005D40C5">
          <w:rPr>
            <w:rStyle w:val="Hyperlink"/>
            <w:i/>
          </w:rPr>
          <w:t>2014 Framework for Joint Internal Audit of UN Joint Activities</w:t>
        </w:r>
      </w:hyperlink>
      <w:r w:rsidR="007413ED" w:rsidRPr="005D40C5">
        <w:rPr>
          <w:i/>
          <w:lang w:eastAsia="ja-JP"/>
        </w:rPr>
        <w:t>.</w:t>
      </w:r>
      <w:r w:rsidR="00140404" w:rsidRPr="005D40C5">
        <w:rPr>
          <w:b/>
          <w:lang w:val="en"/>
        </w:rPr>
        <w:t xml:space="preserve"> </w:t>
      </w:r>
      <w:r w:rsidR="00875411" w:rsidRPr="005D40C5">
        <w:rPr>
          <w:i/>
          <w:lang w:val="en"/>
        </w:rPr>
        <w:t>The administrative agent and participating UN organizations will be audited according to their own rules and financial regulations and in line with th</w:t>
      </w:r>
      <w:r w:rsidR="00012485" w:rsidRPr="005D40C5">
        <w:rPr>
          <w:i/>
          <w:lang w:val="en"/>
        </w:rPr>
        <w:t>is</w:t>
      </w:r>
      <w:r w:rsidR="00875411" w:rsidRPr="005D40C5">
        <w:rPr>
          <w:i/>
          <w:lang w:val="en"/>
        </w:rPr>
        <w:t xml:space="preserve"> framework </w:t>
      </w:r>
      <w:r w:rsidR="00342598" w:rsidRPr="005D40C5">
        <w:rPr>
          <w:i/>
          <w:lang w:val="en"/>
        </w:rPr>
        <w:t>for joint</w:t>
      </w:r>
      <w:r w:rsidR="00012485" w:rsidRPr="005D40C5">
        <w:rPr>
          <w:i/>
          <w:lang w:val="en"/>
        </w:rPr>
        <w:t xml:space="preserve"> </w:t>
      </w:r>
      <w:r w:rsidR="00875411" w:rsidRPr="005D40C5">
        <w:rPr>
          <w:i/>
          <w:lang w:val="en"/>
        </w:rPr>
        <w:t>audit</w:t>
      </w:r>
      <w:r w:rsidR="00140404" w:rsidRPr="005D40C5">
        <w:rPr>
          <w:i/>
          <w:lang w:val="en"/>
        </w:rPr>
        <w:t xml:space="preserve">. </w:t>
      </w:r>
      <w:r w:rsidR="00875411" w:rsidRPr="005D40C5">
        <w:rPr>
          <w:i/>
          <w:lang w:val="en"/>
        </w:rPr>
        <w:t xml:space="preserve">Government entities will be audited in accordance with the national </w:t>
      </w:r>
      <w:r w:rsidR="00140404" w:rsidRPr="005D40C5">
        <w:rPr>
          <w:i/>
          <w:lang w:val="en"/>
        </w:rPr>
        <w:t xml:space="preserve">audit </w:t>
      </w:r>
      <w:r w:rsidR="00875411" w:rsidRPr="005D40C5">
        <w:rPr>
          <w:i/>
          <w:lang w:val="en"/>
        </w:rPr>
        <w:t>framework.</w:t>
      </w:r>
    </w:p>
    <w:p w14:paraId="097EC9D9" w14:textId="77777777" w:rsidR="008D4C90" w:rsidRPr="005D40C5" w:rsidRDefault="008D4C90" w:rsidP="007413ED">
      <w:pPr>
        <w:tabs>
          <w:tab w:val="left" w:pos="540"/>
        </w:tabs>
        <w:autoSpaceDE w:val="0"/>
        <w:autoSpaceDN w:val="0"/>
        <w:adjustRightInd w:val="0"/>
        <w:jc w:val="both"/>
        <w:rPr>
          <w:b/>
          <w:lang w:val="en"/>
        </w:rPr>
      </w:pPr>
    </w:p>
    <w:p w14:paraId="097EC9DA" w14:textId="77777777" w:rsidR="007413ED" w:rsidRPr="005D40C5" w:rsidRDefault="00170BDA" w:rsidP="007413ED">
      <w:pPr>
        <w:autoSpaceDE w:val="0"/>
        <w:autoSpaceDN w:val="0"/>
        <w:adjustRightInd w:val="0"/>
        <w:jc w:val="center"/>
        <w:rPr>
          <w:b/>
          <w:bCs/>
          <w:u w:val="single"/>
        </w:rPr>
      </w:pPr>
      <w:r w:rsidRPr="005D40C5">
        <w:rPr>
          <w:b/>
          <w:bCs/>
          <w:u w:val="single"/>
        </w:rPr>
        <w:t>IX</w:t>
      </w:r>
      <w:r w:rsidR="007413ED" w:rsidRPr="005D40C5">
        <w:rPr>
          <w:b/>
          <w:bCs/>
          <w:u w:val="single"/>
        </w:rPr>
        <w:t>. Public Disclosure</w:t>
      </w:r>
    </w:p>
    <w:p w14:paraId="097EC9DB" w14:textId="77777777" w:rsidR="007413ED" w:rsidRPr="005D40C5" w:rsidRDefault="00420E63" w:rsidP="007413ED">
      <w:pPr>
        <w:tabs>
          <w:tab w:val="left" w:pos="540"/>
        </w:tabs>
        <w:autoSpaceDE w:val="0"/>
        <w:autoSpaceDN w:val="0"/>
        <w:adjustRightInd w:val="0"/>
        <w:jc w:val="both"/>
        <w:rPr>
          <w:i/>
        </w:rPr>
      </w:pPr>
      <w:bookmarkStart w:id="2" w:name="_Toc184960462"/>
      <w:r w:rsidRPr="005D40C5">
        <w:rPr>
          <w:i/>
        </w:rPr>
        <w:t>This section outlines</w:t>
      </w:r>
      <w:r w:rsidR="007413ED" w:rsidRPr="005D40C5">
        <w:rPr>
          <w:i/>
        </w:rPr>
        <w:t xml:space="preserve"> the provisions related to </w:t>
      </w:r>
      <w:r w:rsidR="00B03F17" w:rsidRPr="005D40C5">
        <w:rPr>
          <w:i/>
        </w:rPr>
        <w:t xml:space="preserve">transparency, visibility and public dissemination, which support the coherence </w:t>
      </w:r>
      <w:r w:rsidR="00046362" w:rsidRPr="005D40C5">
        <w:rPr>
          <w:i/>
        </w:rPr>
        <w:t>function of the Fund.</w:t>
      </w:r>
      <w:r w:rsidR="00B03F17" w:rsidRPr="005D40C5">
        <w:rPr>
          <w:i/>
        </w:rPr>
        <w:t xml:space="preserve"> </w:t>
      </w:r>
      <w:r w:rsidR="009F4790" w:rsidRPr="005D40C5">
        <w:rPr>
          <w:i/>
        </w:rPr>
        <w:t>This includes how information on contributions, allocations and expenditures are communicated to stakeholders and the public (e.g. Gateway in case of MPTFO).</w:t>
      </w:r>
      <w:r w:rsidR="00B03F17" w:rsidRPr="005D40C5">
        <w:rPr>
          <w:i/>
        </w:rPr>
        <w:t xml:space="preserve">  </w:t>
      </w:r>
    </w:p>
    <w:p w14:paraId="097EC9DC" w14:textId="77777777" w:rsidR="00E11E57" w:rsidRPr="005D40C5" w:rsidRDefault="00E11E57" w:rsidP="00FA746E">
      <w:pPr>
        <w:rPr>
          <w:i/>
          <w:lang w:val="en"/>
        </w:rPr>
      </w:pPr>
      <w:r w:rsidRPr="005D40C5">
        <w:rPr>
          <w:bCs/>
          <w:i/>
        </w:rPr>
        <w:t>The Secretariat and the Administrative Agent ensure that the Fund's operations are disseminated</w:t>
      </w:r>
      <w:r w:rsidR="009A3EAD" w:rsidRPr="005D40C5">
        <w:rPr>
          <w:bCs/>
          <w:i/>
        </w:rPr>
        <w:t xml:space="preserve">, including SC </w:t>
      </w:r>
      <w:r w:rsidRPr="005D40C5">
        <w:rPr>
          <w:bCs/>
          <w:i/>
        </w:rPr>
        <w:t xml:space="preserve">decisions, </w:t>
      </w:r>
      <w:r w:rsidR="00875411" w:rsidRPr="005D40C5">
        <w:rPr>
          <w:bCs/>
          <w:i/>
        </w:rPr>
        <w:t xml:space="preserve">project submissions and any other documents on work planning, fundraising or results assessment. </w:t>
      </w:r>
    </w:p>
    <w:p w14:paraId="097EC9DD" w14:textId="77777777" w:rsidR="00E11E57" w:rsidRPr="005D40C5" w:rsidRDefault="00875411" w:rsidP="00FA746E">
      <w:pPr>
        <w:spacing w:after="60"/>
        <w:jc w:val="both"/>
        <w:rPr>
          <w:b/>
          <w:bCs/>
          <w:i/>
          <w:color w:val="000000"/>
        </w:rPr>
      </w:pPr>
      <w:r w:rsidRPr="005D40C5">
        <w:rPr>
          <w:bCs/>
          <w:i/>
          <w:color w:val="000000"/>
        </w:rPr>
        <w:t>All stakeholders should</w:t>
      </w:r>
      <w:r w:rsidR="00E11E57" w:rsidRPr="005D40C5">
        <w:rPr>
          <w:bCs/>
          <w:i/>
          <w:color w:val="000000"/>
        </w:rPr>
        <w:t xml:space="preserve"> take appropriate measures to promote the Fund. Information shared with the press regarding fund beneficiaries, official notices, reports and publications shall acknowledge the Fund role. More specifically, the Administrative Agent shall ensure that the role of the contributors and relevant stakeholders</w:t>
      </w:r>
      <w:r w:rsidR="00E11E57" w:rsidRPr="005D40C5">
        <w:rPr>
          <w:bCs/>
          <w:i/>
        </w:rPr>
        <w:t xml:space="preserve"> is fully acknowledged in all external communications rela</w:t>
      </w:r>
      <w:r w:rsidR="00E11E57" w:rsidRPr="005D40C5">
        <w:rPr>
          <w:bCs/>
          <w:i/>
          <w:color w:val="000000"/>
        </w:rPr>
        <w:t>ted to the Fund.</w:t>
      </w:r>
    </w:p>
    <w:p w14:paraId="097EC9DE" w14:textId="77777777" w:rsidR="00E11E57" w:rsidRPr="005D40C5" w:rsidRDefault="00E11E57" w:rsidP="007413ED">
      <w:pPr>
        <w:tabs>
          <w:tab w:val="left" w:pos="540"/>
        </w:tabs>
        <w:autoSpaceDE w:val="0"/>
        <w:autoSpaceDN w:val="0"/>
        <w:adjustRightInd w:val="0"/>
        <w:jc w:val="both"/>
        <w:rPr>
          <w:i/>
        </w:rPr>
      </w:pPr>
    </w:p>
    <w:bookmarkEnd w:id="2"/>
    <w:p w14:paraId="097EC9DF" w14:textId="77777777" w:rsidR="007413ED" w:rsidRPr="005D40C5" w:rsidRDefault="007413ED" w:rsidP="007413ED">
      <w:pPr>
        <w:autoSpaceDE w:val="0"/>
        <w:autoSpaceDN w:val="0"/>
        <w:adjustRightInd w:val="0"/>
        <w:jc w:val="center"/>
        <w:rPr>
          <w:b/>
          <w:bCs/>
          <w:u w:val="single"/>
        </w:rPr>
      </w:pPr>
      <w:r w:rsidRPr="005D40C5">
        <w:rPr>
          <w:b/>
          <w:bCs/>
          <w:iCs/>
          <w:spacing w:val="-2"/>
          <w:u w:val="single"/>
        </w:rPr>
        <w:t xml:space="preserve">X. </w:t>
      </w:r>
      <w:r w:rsidR="00012485" w:rsidRPr="005D40C5">
        <w:rPr>
          <w:b/>
          <w:bCs/>
          <w:iCs/>
          <w:spacing w:val="-2"/>
          <w:u w:val="single"/>
        </w:rPr>
        <w:t>Modification and Expiration</w:t>
      </w:r>
      <w:r w:rsidRPr="005D40C5">
        <w:rPr>
          <w:b/>
          <w:bCs/>
          <w:u w:val="single"/>
        </w:rPr>
        <w:t xml:space="preserve"> of the MDTF</w:t>
      </w:r>
    </w:p>
    <w:p w14:paraId="097EC9E0" w14:textId="77777777" w:rsidR="007413ED" w:rsidRPr="00D01EE3" w:rsidRDefault="00420E63" w:rsidP="007413ED">
      <w:pPr>
        <w:tabs>
          <w:tab w:val="left" w:pos="540"/>
        </w:tabs>
        <w:autoSpaceDE w:val="0"/>
        <w:autoSpaceDN w:val="0"/>
        <w:adjustRightInd w:val="0"/>
        <w:jc w:val="both"/>
        <w:rPr>
          <w:i/>
        </w:rPr>
      </w:pPr>
      <w:r w:rsidRPr="005D40C5">
        <w:rPr>
          <w:i/>
        </w:rPr>
        <w:t>This section includes</w:t>
      </w:r>
      <w:r w:rsidR="007413ED" w:rsidRPr="005D40C5">
        <w:rPr>
          <w:i/>
        </w:rPr>
        <w:t xml:space="preserve"> the provisions related to </w:t>
      </w:r>
      <w:r w:rsidR="00012485" w:rsidRPr="005D40C5">
        <w:rPr>
          <w:i/>
        </w:rPr>
        <w:t>modification and/or expirati</w:t>
      </w:r>
      <w:r w:rsidR="00A14059" w:rsidRPr="005D40C5">
        <w:rPr>
          <w:i/>
        </w:rPr>
        <w:t>on</w:t>
      </w:r>
      <w:r w:rsidR="007413ED" w:rsidRPr="005D40C5">
        <w:rPr>
          <w:i/>
        </w:rPr>
        <w:t xml:space="preserve"> of the MDTF as per standard UNDG MOU/SAA. </w:t>
      </w:r>
      <w:r w:rsidR="00012485" w:rsidRPr="005D40C5">
        <w:rPr>
          <w:i/>
        </w:rPr>
        <w:t xml:space="preserve">This may include a graphic representation of the life cycle of the Fund, including a time line </w:t>
      </w:r>
      <w:r w:rsidR="009331E4" w:rsidRPr="005D40C5">
        <w:rPr>
          <w:i/>
        </w:rPr>
        <w:t>that reflects the tentative dates for (a) approving the last fund allocations, (b) completion of all programmatic activities (= End Date) (c) the dissemination of the final narrative report, (d) the final financial closure of all agencies projects; (e) the financial closure of the Fund</w:t>
      </w:r>
      <w:r w:rsidR="00170BDA" w:rsidRPr="005D40C5">
        <w:rPr>
          <w:i/>
        </w:rPr>
        <w:t>; and (f) the dissemination of the final financial report and certified financial statement</w:t>
      </w:r>
      <w:r w:rsidR="009331E4" w:rsidRPr="005D40C5">
        <w:rPr>
          <w:i/>
        </w:rPr>
        <w:t>.</w:t>
      </w:r>
      <w:r w:rsidR="009331E4">
        <w:rPr>
          <w:i/>
        </w:rPr>
        <w:t xml:space="preserve"> </w:t>
      </w:r>
    </w:p>
    <w:p w14:paraId="097EC9E1" w14:textId="77777777" w:rsidR="006B52EB" w:rsidRDefault="006B52EB" w:rsidP="007413ED">
      <w:pPr>
        <w:spacing w:after="0"/>
        <w:jc w:val="center"/>
        <w:rPr>
          <w:b/>
          <w:sz w:val="32"/>
          <w:szCs w:val="32"/>
        </w:rPr>
      </w:pPr>
    </w:p>
    <w:p w14:paraId="097EC9E2" w14:textId="77777777" w:rsidR="006B52EB" w:rsidRPr="006B52EB" w:rsidRDefault="006B52EB" w:rsidP="006B52EB">
      <w:pPr>
        <w:rPr>
          <w:sz w:val="32"/>
          <w:szCs w:val="32"/>
        </w:rPr>
      </w:pPr>
    </w:p>
    <w:p w14:paraId="097EC9E3" w14:textId="77777777" w:rsidR="006B52EB" w:rsidRPr="006B52EB" w:rsidRDefault="006B52EB" w:rsidP="006B52EB">
      <w:pPr>
        <w:rPr>
          <w:sz w:val="32"/>
          <w:szCs w:val="32"/>
        </w:rPr>
      </w:pPr>
    </w:p>
    <w:p w14:paraId="097EC9E4" w14:textId="77777777" w:rsidR="006B52EB" w:rsidRPr="006B52EB" w:rsidRDefault="006B52EB" w:rsidP="006B52EB">
      <w:pPr>
        <w:rPr>
          <w:sz w:val="32"/>
          <w:szCs w:val="32"/>
        </w:rPr>
      </w:pPr>
    </w:p>
    <w:p w14:paraId="097EC9E5" w14:textId="77777777" w:rsidR="006B52EB" w:rsidRPr="006B52EB" w:rsidRDefault="006B52EB" w:rsidP="006B52EB">
      <w:pPr>
        <w:rPr>
          <w:sz w:val="32"/>
          <w:szCs w:val="32"/>
        </w:rPr>
      </w:pPr>
    </w:p>
    <w:p w14:paraId="097EC9E6" w14:textId="77777777" w:rsidR="006B52EB" w:rsidRPr="006B52EB" w:rsidRDefault="006B52EB" w:rsidP="006B52EB">
      <w:pPr>
        <w:rPr>
          <w:sz w:val="32"/>
          <w:szCs w:val="32"/>
        </w:rPr>
      </w:pPr>
    </w:p>
    <w:p w14:paraId="097EC9E7" w14:textId="77777777" w:rsidR="006B52EB" w:rsidRDefault="006B52EB" w:rsidP="006B52EB">
      <w:pPr>
        <w:rPr>
          <w:sz w:val="32"/>
          <w:szCs w:val="32"/>
        </w:rPr>
      </w:pPr>
    </w:p>
    <w:p w14:paraId="097EC9E8" w14:textId="77777777" w:rsidR="007413ED" w:rsidRPr="006B52EB" w:rsidRDefault="006B52EB" w:rsidP="006B52EB">
      <w:pPr>
        <w:tabs>
          <w:tab w:val="left" w:pos="4200"/>
        </w:tabs>
        <w:rPr>
          <w:sz w:val="32"/>
          <w:szCs w:val="32"/>
        </w:rPr>
      </w:pPr>
      <w:r>
        <w:rPr>
          <w:sz w:val="32"/>
          <w:szCs w:val="32"/>
        </w:rPr>
        <w:tab/>
      </w:r>
    </w:p>
    <w:sectPr w:rsidR="007413ED" w:rsidRPr="006B52EB" w:rsidSect="004F631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EC9EF" w14:textId="77777777" w:rsidR="00807BEC" w:rsidRDefault="00807BEC" w:rsidP="00FD50B4">
      <w:pPr>
        <w:spacing w:after="0" w:line="240" w:lineRule="auto"/>
      </w:pPr>
      <w:r>
        <w:separator/>
      </w:r>
    </w:p>
  </w:endnote>
  <w:endnote w:type="continuationSeparator" w:id="0">
    <w:p w14:paraId="097EC9F0" w14:textId="77777777" w:rsidR="00807BEC" w:rsidRDefault="00807BEC" w:rsidP="00FD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EC9F2" w14:textId="77777777" w:rsidR="003F2FE4" w:rsidRPr="00F756E5" w:rsidRDefault="00117324" w:rsidP="00DA5C10">
    <w:pPr>
      <w:pStyle w:val="Footer"/>
      <w:pBdr>
        <w:top w:val="thinThickSmallGap" w:sz="24" w:space="0" w:color="622423"/>
      </w:pBdr>
      <w:tabs>
        <w:tab w:val="clear" w:pos="4680"/>
      </w:tabs>
      <w:rPr>
        <w:sz w:val="20"/>
      </w:rPr>
    </w:pPr>
    <w:r>
      <w:rPr>
        <w:sz w:val="20"/>
      </w:rPr>
      <w:t xml:space="preserve">Approved by UNDG </w:t>
    </w:r>
    <w:r w:rsidR="003F2FE4">
      <w:rPr>
        <w:sz w:val="20"/>
      </w:rPr>
      <w:t>October 2015</w:t>
    </w:r>
    <w:r w:rsidR="003F2FE4" w:rsidRPr="00F756E5">
      <w:rPr>
        <w:sz w:val="20"/>
      </w:rPr>
      <w:tab/>
      <w:t xml:space="preserve">Page </w:t>
    </w:r>
    <w:r w:rsidR="003F2FE4" w:rsidRPr="00F756E5">
      <w:rPr>
        <w:sz w:val="20"/>
      </w:rPr>
      <w:fldChar w:fldCharType="begin"/>
    </w:r>
    <w:r w:rsidR="003F2FE4" w:rsidRPr="00F756E5">
      <w:rPr>
        <w:sz w:val="20"/>
      </w:rPr>
      <w:instrText xml:space="preserve"> PAGE   \* MERGEFORMAT </w:instrText>
    </w:r>
    <w:r w:rsidR="003F2FE4" w:rsidRPr="00F756E5">
      <w:rPr>
        <w:sz w:val="20"/>
      </w:rPr>
      <w:fldChar w:fldCharType="separate"/>
    </w:r>
    <w:r w:rsidR="00296DC0">
      <w:rPr>
        <w:noProof/>
        <w:sz w:val="20"/>
      </w:rPr>
      <w:t>1</w:t>
    </w:r>
    <w:r w:rsidR="003F2FE4" w:rsidRPr="00F756E5">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EC9ED" w14:textId="77777777" w:rsidR="00807BEC" w:rsidRDefault="00807BEC" w:rsidP="00FD50B4">
      <w:pPr>
        <w:spacing w:after="0" w:line="240" w:lineRule="auto"/>
      </w:pPr>
      <w:r>
        <w:separator/>
      </w:r>
    </w:p>
  </w:footnote>
  <w:footnote w:type="continuationSeparator" w:id="0">
    <w:p w14:paraId="097EC9EE" w14:textId="77777777" w:rsidR="00807BEC" w:rsidRDefault="00807BEC" w:rsidP="00FD50B4">
      <w:pPr>
        <w:spacing w:after="0" w:line="240" w:lineRule="auto"/>
      </w:pPr>
      <w:r>
        <w:continuationSeparator/>
      </w:r>
    </w:p>
  </w:footnote>
  <w:footnote w:id="1">
    <w:p w14:paraId="097EC9F3" w14:textId="77777777" w:rsidR="003F2FE4" w:rsidRPr="00FA746E" w:rsidRDefault="003F2FE4" w:rsidP="007413ED">
      <w:pPr>
        <w:pStyle w:val="FootnoteText"/>
        <w:jc w:val="both"/>
        <w:rPr>
          <w:rFonts w:ascii="Calibri" w:hAnsi="Calibri"/>
        </w:rPr>
      </w:pPr>
      <w:r w:rsidRPr="00FA746E">
        <w:rPr>
          <w:rStyle w:val="FootnoteReference"/>
          <w:rFonts w:ascii="Calibri" w:hAnsi="Calibri"/>
        </w:rPr>
        <w:footnoteRef/>
      </w:r>
      <w:r w:rsidRPr="00FA746E">
        <w:rPr>
          <w:rFonts w:ascii="Calibri" w:hAnsi="Calibri"/>
        </w:rPr>
        <w:t xml:space="preserve"> These generic Terms of References are for use in Multi-Donor Trust Funds, including One UN Funds. Examples of existing MDTF Terms of References are available on</w:t>
      </w:r>
      <w:r>
        <w:rPr>
          <w:rFonts w:ascii="Calibri" w:hAnsi="Calibri"/>
        </w:rPr>
        <w:t xml:space="preserve"> </w:t>
      </w:r>
      <w:hyperlink r:id="rId1" w:history="1">
        <w:r w:rsidRPr="00680F54">
          <w:rPr>
            <w:rStyle w:val="Hyperlink"/>
            <w:rFonts w:ascii="Calibri" w:hAnsi="Calibri"/>
          </w:rPr>
          <w:t>mptf.undp.org</w:t>
        </w:r>
      </w:hyperlink>
      <w:r>
        <w:rPr>
          <w:rFonts w:ascii="Calibri" w:hAnsi="Calibri"/>
        </w:rPr>
        <w:t xml:space="preserve"> and</w:t>
      </w:r>
      <w:r w:rsidRPr="00FA746E">
        <w:rPr>
          <w:rFonts w:ascii="Calibri" w:hAnsi="Calibri"/>
        </w:rPr>
        <w:t xml:space="preserve"> </w:t>
      </w:r>
      <w:r>
        <w:rPr>
          <w:rFonts w:ascii="Calibri" w:hAnsi="Calibri"/>
        </w:rPr>
        <w:t xml:space="preserve"> </w:t>
      </w:r>
      <w:hyperlink r:id="rId2" w:history="1">
        <w:r w:rsidRPr="00FA746E">
          <w:rPr>
            <w:rStyle w:val="Hyperlink"/>
            <w:rFonts w:ascii="Calibri" w:hAnsi="Calibri"/>
          </w:rPr>
          <w:t>www.undg.org</w:t>
        </w:r>
      </w:hyperlink>
      <w:r w:rsidRPr="00FA746E">
        <w:rPr>
          <w:rFonts w:ascii="Calibri" w:hAnsi="Calibri"/>
        </w:rPr>
        <w:t xml:space="preserve"> </w:t>
      </w:r>
    </w:p>
  </w:footnote>
  <w:footnote w:id="2">
    <w:p w14:paraId="097EC9F4" w14:textId="77777777" w:rsidR="003F2FE4" w:rsidRDefault="003F2FE4">
      <w:pPr>
        <w:pStyle w:val="FootnoteText"/>
      </w:pPr>
      <w:r>
        <w:rPr>
          <w:rStyle w:val="FootnoteReference"/>
        </w:rPr>
        <w:footnoteRef/>
      </w:r>
      <w:r>
        <w:t xml:space="preserve"> </w:t>
      </w:r>
      <w:r w:rsidRPr="00680F54">
        <w:rPr>
          <w:rFonts w:ascii="Calibri" w:hAnsi="Calibri"/>
        </w:rPr>
        <w:t xml:space="preserve">The </w:t>
      </w:r>
      <w:hyperlink r:id="rId3" w:history="1">
        <w:r w:rsidRPr="00680F54">
          <w:rPr>
            <w:rStyle w:val="Hyperlink"/>
            <w:rFonts w:ascii="Calibri" w:hAnsi="Calibri"/>
          </w:rPr>
          <w:t>MPTF Office Manual on Designing Pooled Funds for Performance</w:t>
        </w:r>
      </w:hyperlink>
      <w:r w:rsidRPr="00680F54">
        <w:rPr>
          <w:rFonts w:ascii="Calibri" w:hAnsi="Calibri"/>
        </w:rPr>
        <w:t xml:space="preserve">, </w:t>
      </w:r>
      <w:r>
        <w:rPr>
          <w:rFonts w:ascii="Calibri" w:hAnsi="Calibri"/>
        </w:rPr>
        <w:t xml:space="preserve">June 2015, </w:t>
      </w:r>
      <w:r w:rsidRPr="00680F54">
        <w:rPr>
          <w:rFonts w:ascii="Calibri" w:hAnsi="Calibri"/>
        </w:rPr>
        <w:t xml:space="preserve">prepared under </w:t>
      </w:r>
      <w:r>
        <w:rPr>
          <w:rFonts w:ascii="Calibri" w:hAnsi="Calibri"/>
        </w:rPr>
        <w:t xml:space="preserve">the </w:t>
      </w:r>
      <w:r w:rsidRPr="00680F54">
        <w:rPr>
          <w:rFonts w:ascii="Calibri" w:hAnsi="Calibri"/>
        </w:rPr>
        <w:t>auspices of the UN Working Group on Transition, contains further guidance on assessing the feasibility and functions of UN pooled funds.</w:t>
      </w:r>
    </w:p>
  </w:footnote>
  <w:footnote w:id="3">
    <w:p w14:paraId="097EC9F5" w14:textId="77777777" w:rsidR="003F2FE4" w:rsidRPr="00FA746E" w:rsidRDefault="003F2FE4">
      <w:pPr>
        <w:pStyle w:val="FootnoteText"/>
        <w:rPr>
          <w:rFonts w:ascii="Calibri" w:hAnsi="Calibri"/>
        </w:rPr>
      </w:pPr>
      <w:r w:rsidRPr="00FA746E">
        <w:rPr>
          <w:rStyle w:val="FootnoteReference"/>
          <w:rFonts w:ascii="Calibri" w:hAnsi="Calibri"/>
        </w:rPr>
        <w:footnoteRef/>
      </w:r>
      <w:r w:rsidRPr="00FA746E">
        <w:rPr>
          <w:rFonts w:ascii="Calibri" w:hAnsi="Calibri"/>
        </w:rPr>
        <w:t xml:space="preserve"> The </w:t>
      </w:r>
      <w:hyperlink r:id="rId4" w:history="1">
        <w:r w:rsidRPr="00FA746E">
          <w:rPr>
            <w:rStyle w:val="Hyperlink"/>
            <w:rFonts w:ascii="Calibri" w:hAnsi="Calibri"/>
          </w:rPr>
          <w:t>UNDG RBM Handbook</w:t>
        </w:r>
      </w:hyperlink>
      <w:r w:rsidRPr="00FA746E">
        <w:rPr>
          <w:rFonts w:ascii="Calibri" w:hAnsi="Calibri"/>
        </w:rPr>
        <w:t xml:space="preserve">, October 2011, contains guidance on theories of change and general RBM principles </w:t>
      </w:r>
    </w:p>
  </w:footnote>
  <w:footnote w:id="4">
    <w:p w14:paraId="097EC9F6" w14:textId="77777777" w:rsidR="003F2FE4" w:rsidRDefault="003F2FE4" w:rsidP="005D40C5">
      <w:pPr>
        <w:pStyle w:val="CommentText"/>
        <w:spacing w:after="0"/>
      </w:pPr>
      <w:r>
        <w:rPr>
          <w:rStyle w:val="FootnoteReference"/>
        </w:rPr>
        <w:footnoteRef/>
      </w:r>
      <w:r>
        <w:t xml:space="preserve"> “Project” refers to </w:t>
      </w:r>
      <w:r w:rsidRPr="00654539">
        <w:t>an approved programmatic document</w:t>
      </w:r>
      <w:r w:rsidR="00342598">
        <w:t>,</w:t>
      </w:r>
      <w:r w:rsidR="00342598" w:rsidRPr="00654539">
        <w:t xml:space="preserve"> </w:t>
      </w:r>
      <w:r w:rsidR="00342598">
        <w:t>as</w:t>
      </w:r>
      <w:r>
        <w:t xml:space="preserve"> per MOU, which can be “</w:t>
      </w:r>
      <w:r w:rsidRPr="00654539">
        <w:t>an annual work plan or a programme/project document, etc., which is approved by the Steering Committee for fund allocation purposes.</w:t>
      </w:r>
      <w:r>
        <w:t>”</w:t>
      </w:r>
    </w:p>
  </w:footnote>
  <w:footnote w:id="5">
    <w:p w14:paraId="097EC9F7" w14:textId="77777777" w:rsidR="003F2FE4" w:rsidRPr="00CA7796" w:rsidRDefault="003F2FE4">
      <w:pPr>
        <w:pStyle w:val="FootnoteText"/>
        <w:rPr>
          <w:rFonts w:ascii="Calibri" w:hAnsi="Calibri"/>
        </w:rPr>
      </w:pPr>
      <w:r w:rsidRPr="00CA7796">
        <w:rPr>
          <w:rStyle w:val="FootnoteReference"/>
          <w:rFonts w:ascii="Calibri" w:hAnsi="Calibri"/>
        </w:rPr>
        <w:footnoteRef/>
      </w:r>
      <w:r w:rsidRPr="00CA7796">
        <w:rPr>
          <w:rFonts w:ascii="Calibri" w:hAnsi="Calibri"/>
        </w:rPr>
        <w:t xml:space="preserve"> See </w:t>
      </w:r>
      <w:hyperlink r:id="rId5" w:history="1">
        <w:r w:rsidRPr="00CA7796">
          <w:rPr>
            <w:rStyle w:val="Hyperlink"/>
            <w:rFonts w:ascii="Calibri" w:hAnsi="Calibri"/>
          </w:rPr>
          <w:t>UNDG programme risk management for pooled funding solutions in conflict and transition countries</w:t>
        </w:r>
      </w:hyperlink>
      <w:r w:rsidRPr="00CA7796">
        <w:rPr>
          <w:rFonts w:ascii="Calibri" w:hAnsi="Calibri"/>
        </w:rPr>
        <w:t>, May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EC9F1" w14:textId="77777777" w:rsidR="003F2FE4" w:rsidRPr="00DA5C10" w:rsidRDefault="003F2FE4" w:rsidP="00DA5C10">
    <w:pPr>
      <w:pStyle w:val="Header"/>
      <w:tabs>
        <w:tab w:val="clear" w:pos="9360"/>
      </w:tab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2"/>
      </v:shape>
    </w:pict>
  </w:numPicBullet>
  <w:abstractNum w:abstractNumId="0">
    <w:nsid w:val="FFFFFF1D"/>
    <w:multiLevelType w:val="multilevel"/>
    <w:tmpl w:val="5B2E80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CB0142"/>
    <w:multiLevelType w:val="hybridMultilevel"/>
    <w:tmpl w:val="322C2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9519B"/>
    <w:multiLevelType w:val="hybridMultilevel"/>
    <w:tmpl w:val="A94C64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17D27"/>
    <w:multiLevelType w:val="hybridMultilevel"/>
    <w:tmpl w:val="398AF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9B4E6D"/>
    <w:multiLevelType w:val="hybridMultilevel"/>
    <w:tmpl w:val="DE8896A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720B65"/>
    <w:multiLevelType w:val="hybridMultilevel"/>
    <w:tmpl w:val="371821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2508A"/>
    <w:multiLevelType w:val="hybridMultilevel"/>
    <w:tmpl w:val="ECD43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F41B14"/>
    <w:multiLevelType w:val="hybridMultilevel"/>
    <w:tmpl w:val="274A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0D2FDE"/>
    <w:multiLevelType w:val="hybridMultilevel"/>
    <w:tmpl w:val="8DD6B5D8"/>
    <w:lvl w:ilvl="0" w:tplc="FFFFFFFF">
      <w:start w:val="1"/>
      <w:numFmt w:val="decimal"/>
      <w:lvlText w:val="%1."/>
      <w:lvlJc w:val="left"/>
      <w:pPr>
        <w:tabs>
          <w:tab w:val="num" w:pos="1080"/>
        </w:tabs>
        <w:ind w:left="1080" w:hanging="720"/>
      </w:pPr>
      <w:rPr>
        <w:rFonts w:hint="default"/>
      </w:rPr>
    </w:lvl>
    <w:lvl w:ilvl="1" w:tplc="97AC3574">
      <w:start w:val="1"/>
      <w:numFmt w:val="lowerLetter"/>
      <w:lvlText w:val="%2."/>
      <w:lvlJc w:val="left"/>
      <w:pPr>
        <w:tabs>
          <w:tab w:val="num" w:pos="1440"/>
        </w:tabs>
        <w:ind w:left="1440" w:hanging="360"/>
      </w:pPr>
      <w:rPr>
        <w:b w:val="0"/>
        <w:bCs/>
      </w:rPr>
    </w:lvl>
    <w:lvl w:ilvl="2" w:tplc="FFFFFFFF">
      <w:start w:val="4"/>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B193814"/>
    <w:multiLevelType w:val="hybridMultilevel"/>
    <w:tmpl w:val="F5C2A71A"/>
    <w:lvl w:ilvl="0" w:tplc="44362020">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C252AC"/>
    <w:multiLevelType w:val="hybridMultilevel"/>
    <w:tmpl w:val="51685BAE"/>
    <w:lvl w:ilvl="0" w:tplc="BFEC428A">
      <w:start w:val="1"/>
      <w:numFmt w:val="lowerRoman"/>
      <w:lvlText w:val="%1)"/>
      <w:lvlJc w:val="right"/>
      <w:pPr>
        <w:ind w:left="720" w:hanging="360"/>
      </w:pPr>
      <w:rPr>
        <w:rFonts w:cs="Times New Roman" w:hint="default"/>
        <w:b w:val="0"/>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36505EB"/>
    <w:multiLevelType w:val="hybridMultilevel"/>
    <w:tmpl w:val="63F0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5B1918"/>
    <w:multiLevelType w:val="hybridMultilevel"/>
    <w:tmpl w:val="A36C0E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AE59EB"/>
    <w:multiLevelType w:val="hybridMultilevel"/>
    <w:tmpl w:val="C5BC306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6C0049"/>
    <w:multiLevelType w:val="hybridMultilevel"/>
    <w:tmpl w:val="27346BEE"/>
    <w:lvl w:ilvl="0" w:tplc="BFEC428A">
      <w:start w:val="1"/>
      <w:numFmt w:val="lowerRoman"/>
      <w:lvlText w:val="%1)"/>
      <w:lvlJc w:val="right"/>
      <w:pPr>
        <w:ind w:left="720" w:hanging="360"/>
      </w:pPr>
      <w:rPr>
        <w:rFonts w:cs="Times New Roman" w:hint="default"/>
        <w:b w:val="0"/>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03B798B"/>
    <w:multiLevelType w:val="hybridMultilevel"/>
    <w:tmpl w:val="776CFCE2"/>
    <w:lvl w:ilvl="0" w:tplc="28E42D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2568E9"/>
    <w:multiLevelType w:val="hybridMultilevel"/>
    <w:tmpl w:val="00FAF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845DF9"/>
    <w:multiLevelType w:val="hybridMultilevel"/>
    <w:tmpl w:val="5DA4CEAE"/>
    <w:lvl w:ilvl="0" w:tplc="B470BB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FA85A2A"/>
    <w:multiLevelType w:val="hybridMultilevel"/>
    <w:tmpl w:val="AB4CEF28"/>
    <w:lvl w:ilvl="0" w:tplc="0409000F">
      <w:start w:val="1"/>
      <w:numFmt w:val="decimal"/>
      <w:lvlText w:val="%1."/>
      <w:lvlJc w:val="left"/>
      <w:pPr>
        <w:tabs>
          <w:tab w:val="num" w:pos="720"/>
        </w:tabs>
        <w:ind w:left="720" w:hanging="360"/>
      </w:pPr>
    </w:lvl>
    <w:lvl w:ilvl="1" w:tplc="04090007">
      <w:start w:val="1"/>
      <w:numFmt w:val="bullet"/>
      <w:lvlText w:val=""/>
      <w:lvlPicBulletId w:val="0"/>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557F80"/>
    <w:multiLevelType w:val="hybridMultilevel"/>
    <w:tmpl w:val="3F46E18E"/>
    <w:lvl w:ilvl="0" w:tplc="4344D5BE">
      <w:start w:val="1"/>
      <w:numFmt w:val="lowerRoman"/>
      <w:lvlText w:val="%1)"/>
      <w:lvlJc w:val="left"/>
      <w:pPr>
        <w:ind w:left="720" w:hanging="360"/>
      </w:pPr>
      <w:rPr>
        <w:rFonts w:ascii="Calibri" w:eastAsia="Calibri" w:hAnsi="Calibri"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E55E83"/>
    <w:multiLevelType w:val="hybridMultilevel"/>
    <w:tmpl w:val="3882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18573B"/>
    <w:multiLevelType w:val="hybridMultilevel"/>
    <w:tmpl w:val="9BBE35C6"/>
    <w:lvl w:ilvl="0" w:tplc="686673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802409"/>
    <w:multiLevelType w:val="hybridMultilevel"/>
    <w:tmpl w:val="3C76C6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6F41EB"/>
    <w:multiLevelType w:val="hybridMultilevel"/>
    <w:tmpl w:val="524CA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BD5E69"/>
    <w:multiLevelType w:val="hybridMultilevel"/>
    <w:tmpl w:val="5E901AE6"/>
    <w:lvl w:ilvl="0" w:tplc="10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447DA0"/>
    <w:multiLevelType w:val="hybridMultilevel"/>
    <w:tmpl w:val="A96E6FC8"/>
    <w:lvl w:ilvl="0" w:tplc="AD008AC8">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7044652"/>
    <w:multiLevelType w:val="hybridMultilevel"/>
    <w:tmpl w:val="0B68F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9B0F32"/>
    <w:multiLevelType w:val="hybridMultilevel"/>
    <w:tmpl w:val="2370D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C3A3A4C"/>
    <w:multiLevelType w:val="hybridMultilevel"/>
    <w:tmpl w:val="60503C4E"/>
    <w:lvl w:ilvl="0" w:tplc="4344D5BE">
      <w:start w:val="1"/>
      <w:numFmt w:val="lowerRoman"/>
      <w:lvlText w:val="%1)"/>
      <w:lvlJc w:val="left"/>
      <w:pPr>
        <w:ind w:left="720" w:hanging="360"/>
      </w:pPr>
      <w:rPr>
        <w:rFonts w:ascii="Calibri" w:eastAsia="Calibri" w:hAnsi="Calibri"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B16631"/>
    <w:multiLevelType w:val="hybridMultilevel"/>
    <w:tmpl w:val="7AA0D294"/>
    <w:lvl w:ilvl="0" w:tplc="BFEC428A">
      <w:start w:val="1"/>
      <w:numFmt w:val="lowerRoman"/>
      <w:lvlText w:val="%1)"/>
      <w:lvlJc w:val="right"/>
      <w:pPr>
        <w:ind w:left="720" w:hanging="360"/>
      </w:pPr>
      <w:rPr>
        <w:rFonts w:cs="Times New Roman" w:hint="default"/>
        <w:b w:val="0"/>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DB51202"/>
    <w:multiLevelType w:val="hybridMultilevel"/>
    <w:tmpl w:val="0F2EA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0414A3D"/>
    <w:multiLevelType w:val="hybridMultilevel"/>
    <w:tmpl w:val="71625D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0B47120"/>
    <w:multiLevelType w:val="hybridMultilevel"/>
    <w:tmpl w:val="CE784B3A"/>
    <w:lvl w:ilvl="0" w:tplc="63C6FD5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FA018D"/>
    <w:multiLevelType w:val="hybridMultilevel"/>
    <w:tmpl w:val="FC085214"/>
    <w:lvl w:ilvl="0" w:tplc="40347ED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544ED3"/>
    <w:multiLevelType w:val="singleLevel"/>
    <w:tmpl w:val="65A274F6"/>
    <w:lvl w:ilvl="0">
      <w:start w:val="1"/>
      <w:numFmt w:val="lowerLetter"/>
      <w:lvlText w:val="(%1)"/>
      <w:lvlJc w:val="left"/>
      <w:pPr>
        <w:tabs>
          <w:tab w:val="num" w:pos="1440"/>
        </w:tabs>
        <w:ind w:left="1440" w:hanging="720"/>
      </w:pPr>
      <w:rPr>
        <w:rFonts w:hint="default"/>
      </w:rPr>
    </w:lvl>
  </w:abstractNum>
  <w:abstractNum w:abstractNumId="35">
    <w:nsid w:val="7C994C0C"/>
    <w:multiLevelType w:val="hybridMultilevel"/>
    <w:tmpl w:val="5DA87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014473"/>
    <w:multiLevelType w:val="hybridMultilevel"/>
    <w:tmpl w:val="2B421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25"/>
  </w:num>
  <w:num w:numId="4">
    <w:abstractNumId w:val="31"/>
  </w:num>
  <w:num w:numId="5">
    <w:abstractNumId w:val="2"/>
  </w:num>
  <w:num w:numId="6">
    <w:abstractNumId w:val="5"/>
  </w:num>
  <w:num w:numId="7">
    <w:abstractNumId w:val="3"/>
  </w:num>
  <w:num w:numId="8">
    <w:abstractNumId w:val="34"/>
  </w:num>
  <w:num w:numId="9">
    <w:abstractNumId w:val="22"/>
  </w:num>
  <w:num w:numId="10">
    <w:abstractNumId w:val="6"/>
  </w:num>
  <w:num w:numId="11">
    <w:abstractNumId w:val="32"/>
  </w:num>
  <w:num w:numId="12">
    <w:abstractNumId w:val="9"/>
  </w:num>
  <w:num w:numId="13">
    <w:abstractNumId w:val="20"/>
  </w:num>
  <w:num w:numId="14">
    <w:abstractNumId w:val="1"/>
  </w:num>
  <w:num w:numId="15">
    <w:abstractNumId w:val="23"/>
  </w:num>
  <w:num w:numId="16">
    <w:abstractNumId w:val="16"/>
  </w:num>
  <w:num w:numId="17">
    <w:abstractNumId w:val="7"/>
  </w:num>
  <w:num w:numId="18">
    <w:abstractNumId w:val="18"/>
  </w:num>
  <w:num w:numId="19">
    <w:abstractNumId w:val="35"/>
  </w:num>
  <w:num w:numId="20">
    <w:abstractNumId w:val="27"/>
  </w:num>
  <w:num w:numId="21">
    <w:abstractNumId w:val="34"/>
    <w:lvlOverride w:ilvl="0">
      <w:startOverride w:val="1"/>
    </w:lvlOverride>
  </w:num>
  <w:num w:numId="22">
    <w:abstractNumId w:val="11"/>
  </w:num>
  <w:num w:numId="23">
    <w:abstractNumId w:val="26"/>
  </w:num>
  <w:num w:numId="24">
    <w:abstractNumId w:val="36"/>
  </w:num>
  <w:num w:numId="25">
    <w:abstractNumId w:val="8"/>
  </w:num>
  <w:num w:numId="26">
    <w:abstractNumId w:val="33"/>
  </w:num>
  <w:num w:numId="27">
    <w:abstractNumId w:val="0"/>
  </w:num>
  <w:num w:numId="28">
    <w:abstractNumId w:val="30"/>
  </w:num>
  <w:num w:numId="29">
    <w:abstractNumId w:val="24"/>
  </w:num>
  <w:num w:numId="30">
    <w:abstractNumId w:val="10"/>
  </w:num>
  <w:num w:numId="31">
    <w:abstractNumId w:val="19"/>
  </w:num>
  <w:num w:numId="32">
    <w:abstractNumId w:val="28"/>
  </w:num>
  <w:num w:numId="33">
    <w:abstractNumId w:val="12"/>
  </w:num>
  <w:num w:numId="34">
    <w:abstractNumId w:val="21"/>
  </w:num>
  <w:num w:numId="35">
    <w:abstractNumId w:val="14"/>
  </w:num>
  <w:num w:numId="36">
    <w:abstractNumId w:val="29"/>
  </w:num>
  <w:num w:numId="37">
    <w:abstractNumId w:val="4"/>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EDA"/>
    <w:rsid w:val="00001E1E"/>
    <w:rsid w:val="00003163"/>
    <w:rsid w:val="00003FCE"/>
    <w:rsid w:val="0000668E"/>
    <w:rsid w:val="00010262"/>
    <w:rsid w:val="0001044D"/>
    <w:rsid w:val="00010DB4"/>
    <w:rsid w:val="000117C3"/>
    <w:rsid w:val="00012485"/>
    <w:rsid w:val="0001296A"/>
    <w:rsid w:val="00013038"/>
    <w:rsid w:val="00014BAB"/>
    <w:rsid w:val="00021B64"/>
    <w:rsid w:val="00024997"/>
    <w:rsid w:val="00026241"/>
    <w:rsid w:val="00027070"/>
    <w:rsid w:val="00030461"/>
    <w:rsid w:val="00030CE4"/>
    <w:rsid w:val="00043371"/>
    <w:rsid w:val="0004446E"/>
    <w:rsid w:val="00046362"/>
    <w:rsid w:val="00051562"/>
    <w:rsid w:val="00054939"/>
    <w:rsid w:val="00055072"/>
    <w:rsid w:val="0005574B"/>
    <w:rsid w:val="00060977"/>
    <w:rsid w:val="00064C5F"/>
    <w:rsid w:val="000762B7"/>
    <w:rsid w:val="00076461"/>
    <w:rsid w:val="000807A5"/>
    <w:rsid w:val="00081499"/>
    <w:rsid w:val="00081EBD"/>
    <w:rsid w:val="00087312"/>
    <w:rsid w:val="00087620"/>
    <w:rsid w:val="00087E39"/>
    <w:rsid w:val="000938C3"/>
    <w:rsid w:val="00097E7F"/>
    <w:rsid w:val="000A06DB"/>
    <w:rsid w:val="000A08FA"/>
    <w:rsid w:val="000A2A8A"/>
    <w:rsid w:val="000A609C"/>
    <w:rsid w:val="000A60BC"/>
    <w:rsid w:val="000B17AB"/>
    <w:rsid w:val="000B663E"/>
    <w:rsid w:val="000B685E"/>
    <w:rsid w:val="000C1A77"/>
    <w:rsid w:val="000C3B9F"/>
    <w:rsid w:val="000C48D8"/>
    <w:rsid w:val="000C532F"/>
    <w:rsid w:val="000D4A7E"/>
    <w:rsid w:val="000D762D"/>
    <w:rsid w:val="000E21C5"/>
    <w:rsid w:val="000E2796"/>
    <w:rsid w:val="000E579A"/>
    <w:rsid w:val="000E5AAA"/>
    <w:rsid w:val="000F30D6"/>
    <w:rsid w:val="000F3269"/>
    <w:rsid w:val="000F4904"/>
    <w:rsid w:val="000F7307"/>
    <w:rsid w:val="00103523"/>
    <w:rsid w:val="001138B0"/>
    <w:rsid w:val="00113B46"/>
    <w:rsid w:val="00114ECD"/>
    <w:rsid w:val="00117324"/>
    <w:rsid w:val="001176A7"/>
    <w:rsid w:val="00120FEB"/>
    <w:rsid w:val="00121187"/>
    <w:rsid w:val="00122293"/>
    <w:rsid w:val="00127B28"/>
    <w:rsid w:val="00130878"/>
    <w:rsid w:val="0013216D"/>
    <w:rsid w:val="0013272C"/>
    <w:rsid w:val="00133592"/>
    <w:rsid w:val="001348C2"/>
    <w:rsid w:val="0013583A"/>
    <w:rsid w:val="00135D28"/>
    <w:rsid w:val="00140404"/>
    <w:rsid w:val="00141B44"/>
    <w:rsid w:val="001474B8"/>
    <w:rsid w:val="00150E42"/>
    <w:rsid w:val="00152CF5"/>
    <w:rsid w:val="001542BE"/>
    <w:rsid w:val="00154CB6"/>
    <w:rsid w:val="00160D2A"/>
    <w:rsid w:val="0016581A"/>
    <w:rsid w:val="00165C82"/>
    <w:rsid w:val="00170BDA"/>
    <w:rsid w:val="00171257"/>
    <w:rsid w:val="00172DB8"/>
    <w:rsid w:val="0017398A"/>
    <w:rsid w:val="00182780"/>
    <w:rsid w:val="00182E09"/>
    <w:rsid w:val="001833C1"/>
    <w:rsid w:val="00194168"/>
    <w:rsid w:val="00196C7E"/>
    <w:rsid w:val="001A5FBC"/>
    <w:rsid w:val="001B0D88"/>
    <w:rsid w:val="001B2DB3"/>
    <w:rsid w:val="001B3E06"/>
    <w:rsid w:val="001B4190"/>
    <w:rsid w:val="001B6C2B"/>
    <w:rsid w:val="001C0EA4"/>
    <w:rsid w:val="001C1371"/>
    <w:rsid w:val="001C19B8"/>
    <w:rsid w:val="001C2B38"/>
    <w:rsid w:val="001C4B9F"/>
    <w:rsid w:val="001D03EA"/>
    <w:rsid w:val="001D4A60"/>
    <w:rsid w:val="001D574B"/>
    <w:rsid w:val="001E0831"/>
    <w:rsid w:val="001E2D75"/>
    <w:rsid w:val="001E56A0"/>
    <w:rsid w:val="001E5C47"/>
    <w:rsid w:val="001F2602"/>
    <w:rsid w:val="001F47C4"/>
    <w:rsid w:val="001F6A82"/>
    <w:rsid w:val="00201BBA"/>
    <w:rsid w:val="00202C47"/>
    <w:rsid w:val="00205A5E"/>
    <w:rsid w:val="002107AF"/>
    <w:rsid w:val="002156FC"/>
    <w:rsid w:val="00217CE7"/>
    <w:rsid w:val="00220AC8"/>
    <w:rsid w:val="00230314"/>
    <w:rsid w:val="002411F7"/>
    <w:rsid w:val="00242548"/>
    <w:rsid w:val="002428A3"/>
    <w:rsid w:val="002474EB"/>
    <w:rsid w:val="0025038C"/>
    <w:rsid w:val="0025217E"/>
    <w:rsid w:val="00257B94"/>
    <w:rsid w:val="00261A0D"/>
    <w:rsid w:val="002629FD"/>
    <w:rsid w:val="00263DB7"/>
    <w:rsid w:val="00263F77"/>
    <w:rsid w:val="00264EE8"/>
    <w:rsid w:val="00267B11"/>
    <w:rsid w:val="0027083A"/>
    <w:rsid w:val="00272318"/>
    <w:rsid w:val="00274F59"/>
    <w:rsid w:val="00275C25"/>
    <w:rsid w:val="0028393A"/>
    <w:rsid w:val="0028738B"/>
    <w:rsid w:val="0029303B"/>
    <w:rsid w:val="00293917"/>
    <w:rsid w:val="00295AA1"/>
    <w:rsid w:val="00296DC0"/>
    <w:rsid w:val="002A5642"/>
    <w:rsid w:val="002A7402"/>
    <w:rsid w:val="002A7A92"/>
    <w:rsid w:val="002B12BD"/>
    <w:rsid w:val="002B2B72"/>
    <w:rsid w:val="002B5D25"/>
    <w:rsid w:val="002B78A5"/>
    <w:rsid w:val="002C00F5"/>
    <w:rsid w:val="002C0A69"/>
    <w:rsid w:val="002C19CA"/>
    <w:rsid w:val="002C482D"/>
    <w:rsid w:val="002C57DA"/>
    <w:rsid w:val="002D0690"/>
    <w:rsid w:val="002D13F1"/>
    <w:rsid w:val="002D201F"/>
    <w:rsid w:val="002D3188"/>
    <w:rsid w:val="002D4E53"/>
    <w:rsid w:val="002D556B"/>
    <w:rsid w:val="002D69C7"/>
    <w:rsid w:val="002E03DB"/>
    <w:rsid w:val="002E52D8"/>
    <w:rsid w:val="002F58E9"/>
    <w:rsid w:val="00302A89"/>
    <w:rsid w:val="00305F96"/>
    <w:rsid w:val="0031155D"/>
    <w:rsid w:val="00316BAA"/>
    <w:rsid w:val="00317488"/>
    <w:rsid w:val="00333D67"/>
    <w:rsid w:val="00337294"/>
    <w:rsid w:val="00340F4A"/>
    <w:rsid w:val="003424F2"/>
    <w:rsid w:val="00342598"/>
    <w:rsid w:val="00344F5B"/>
    <w:rsid w:val="0034533A"/>
    <w:rsid w:val="00350BBB"/>
    <w:rsid w:val="00350BD1"/>
    <w:rsid w:val="00353C12"/>
    <w:rsid w:val="0036221C"/>
    <w:rsid w:val="0036352B"/>
    <w:rsid w:val="00365955"/>
    <w:rsid w:val="003671AC"/>
    <w:rsid w:val="00377E07"/>
    <w:rsid w:val="003807B1"/>
    <w:rsid w:val="00381AF8"/>
    <w:rsid w:val="003827E0"/>
    <w:rsid w:val="003861F2"/>
    <w:rsid w:val="00386341"/>
    <w:rsid w:val="00386460"/>
    <w:rsid w:val="003908D4"/>
    <w:rsid w:val="00394D52"/>
    <w:rsid w:val="003A256A"/>
    <w:rsid w:val="003A3444"/>
    <w:rsid w:val="003A5A4F"/>
    <w:rsid w:val="003B0318"/>
    <w:rsid w:val="003B1530"/>
    <w:rsid w:val="003B37C3"/>
    <w:rsid w:val="003B457A"/>
    <w:rsid w:val="003B7A7E"/>
    <w:rsid w:val="003C08D1"/>
    <w:rsid w:val="003C1DA3"/>
    <w:rsid w:val="003C3166"/>
    <w:rsid w:val="003D3616"/>
    <w:rsid w:val="003D4642"/>
    <w:rsid w:val="003D66B8"/>
    <w:rsid w:val="003E0A2A"/>
    <w:rsid w:val="003E423E"/>
    <w:rsid w:val="003E4A9D"/>
    <w:rsid w:val="003E6019"/>
    <w:rsid w:val="003E6C8D"/>
    <w:rsid w:val="003F1515"/>
    <w:rsid w:val="003F293C"/>
    <w:rsid w:val="003F2FE4"/>
    <w:rsid w:val="003F4FE9"/>
    <w:rsid w:val="003F5F83"/>
    <w:rsid w:val="0040006A"/>
    <w:rsid w:val="00400B95"/>
    <w:rsid w:val="0040198C"/>
    <w:rsid w:val="00401D6A"/>
    <w:rsid w:val="00402A76"/>
    <w:rsid w:val="004038FD"/>
    <w:rsid w:val="00403AFE"/>
    <w:rsid w:val="004059D5"/>
    <w:rsid w:val="00415046"/>
    <w:rsid w:val="00415E08"/>
    <w:rsid w:val="0042011E"/>
    <w:rsid w:val="00420E63"/>
    <w:rsid w:val="00420F61"/>
    <w:rsid w:val="00436D81"/>
    <w:rsid w:val="0044112F"/>
    <w:rsid w:val="004477E6"/>
    <w:rsid w:val="00447F15"/>
    <w:rsid w:val="004515DC"/>
    <w:rsid w:val="00452176"/>
    <w:rsid w:val="00457D1B"/>
    <w:rsid w:val="00460409"/>
    <w:rsid w:val="004613B5"/>
    <w:rsid w:val="00463B48"/>
    <w:rsid w:val="00467201"/>
    <w:rsid w:val="004740D4"/>
    <w:rsid w:val="00476804"/>
    <w:rsid w:val="00477864"/>
    <w:rsid w:val="0048099D"/>
    <w:rsid w:val="0048534B"/>
    <w:rsid w:val="00493077"/>
    <w:rsid w:val="00493E3E"/>
    <w:rsid w:val="00494BBE"/>
    <w:rsid w:val="004A0C40"/>
    <w:rsid w:val="004A1FA4"/>
    <w:rsid w:val="004A624C"/>
    <w:rsid w:val="004A77C5"/>
    <w:rsid w:val="004B2DEC"/>
    <w:rsid w:val="004B6168"/>
    <w:rsid w:val="004C07A6"/>
    <w:rsid w:val="004C1A2C"/>
    <w:rsid w:val="004C40C2"/>
    <w:rsid w:val="004C5270"/>
    <w:rsid w:val="004C7951"/>
    <w:rsid w:val="004D0FFD"/>
    <w:rsid w:val="004D3138"/>
    <w:rsid w:val="004D4EFD"/>
    <w:rsid w:val="004E7C68"/>
    <w:rsid w:val="004F4CB2"/>
    <w:rsid w:val="004F6311"/>
    <w:rsid w:val="004F6CE4"/>
    <w:rsid w:val="004F7F0F"/>
    <w:rsid w:val="00502AF2"/>
    <w:rsid w:val="00503600"/>
    <w:rsid w:val="00510D8C"/>
    <w:rsid w:val="00511E60"/>
    <w:rsid w:val="00512BD8"/>
    <w:rsid w:val="00513C46"/>
    <w:rsid w:val="00514856"/>
    <w:rsid w:val="00515526"/>
    <w:rsid w:val="005265D9"/>
    <w:rsid w:val="005273F6"/>
    <w:rsid w:val="0053116B"/>
    <w:rsid w:val="00533B99"/>
    <w:rsid w:val="0053544F"/>
    <w:rsid w:val="00535E48"/>
    <w:rsid w:val="0054089B"/>
    <w:rsid w:val="005449E6"/>
    <w:rsid w:val="00545131"/>
    <w:rsid w:val="00545DA0"/>
    <w:rsid w:val="005463EE"/>
    <w:rsid w:val="005467FB"/>
    <w:rsid w:val="005516BF"/>
    <w:rsid w:val="005529D3"/>
    <w:rsid w:val="005538DA"/>
    <w:rsid w:val="00556001"/>
    <w:rsid w:val="00557268"/>
    <w:rsid w:val="00562C8E"/>
    <w:rsid w:val="0057262D"/>
    <w:rsid w:val="0057372F"/>
    <w:rsid w:val="00574F94"/>
    <w:rsid w:val="00575514"/>
    <w:rsid w:val="005832D7"/>
    <w:rsid w:val="00583B57"/>
    <w:rsid w:val="00590274"/>
    <w:rsid w:val="005931AD"/>
    <w:rsid w:val="005A1502"/>
    <w:rsid w:val="005A24AD"/>
    <w:rsid w:val="005A3FEB"/>
    <w:rsid w:val="005A5B79"/>
    <w:rsid w:val="005A7283"/>
    <w:rsid w:val="005B3E32"/>
    <w:rsid w:val="005B4403"/>
    <w:rsid w:val="005C1201"/>
    <w:rsid w:val="005C38A3"/>
    <w:rsid w:val="005C634F"/>
    <w:rsid w:val="005C6663"/>
    <w:rsid w:val="005D061D"/>
    <w:rsid w:val="005D1462"/>
    <w:rsid w:val="005D40C5"/>
    <w:rsid w:val="005D463F"/>
    <w:rsid w:val="005D46AD"/>
    <w:rsid w:val="005D5D44"/>
    <w:rsid w:val="005E1315"/>
    <w:rsid w:val="005E77E7"/>
    <w:rsid w:val="005F159D"/>
    <w:rsid w:val="005F1657"/>
    <w:rsid w:val="005F1E35"/>
    <w:rsid w:val="005F5A60"/>
    <w:rsid w:val="005F7D81"/>
    <w:rsid w:val="00604E79"/>
    <w:rsid w:val="00606E94"/>
    <w:rsid w:val="00611FD4"/>
    <w:rsid w:val="0061376F"/>
    <w:rsid w:val="00615E43"/>
    <w:rsid w:val="00615E4C"/>
    <w:rsid w:val="00617DFE"/>
    <w:rsid w:val="006213C0"/>
    <w:rsid w:val="00625CCF"/>
    <w:rsid w:val="00627B38"/>
    <w:rsid w:val="006301BC"/>
    <w:rsid w:val="0063612E"/>
    <w:rsid w:val="006367AF"/>
    <w:rsid w:val="006374F0"/>
    <w:rsid w:val="00645BBE"/>
    <w:rsid w:val="006475AC"/>
    <w:rsid w:val="006501E5"/>
    <w:rsid w:val="00650E8D"/>
    <w:rsid w:val="00654BCB"/>
    <w:rsid w:val="00654FB8"/>
    <w:rsid w:val="00657C6B"/>
    <w:rsid w:val="00665645"/>
    <w:rsid w:val="00672E89"/>
    <w:rsid w:val="00680F54"/>
    <w:rsid w:val="00684D7D"/>
    <w:rsid w:val="00685E45"/>
    <w:rsid w:val="00686CF9"/>
    <w:rsid w:val="00691E4C"/>
    <w:rsid w:val="00692B59"/>
    <w:rsid w:val="006941DD"/>
    <w:rsid w:val="006947DC"/>
    <w:rsid w:val="00697825"/>
    <w:rsid w:val="006A165F"/>
    <w:rsid w:val="006A2CCD"/>
    <w:rsid w:val="006A62F5"/>
    <w:rsid w:val="006A662B"/>
    <w:rsid w:val="006B271B"/>
    <w:rsid w:val="006B52EB"/>
    <w:rsid w:val="006B52FB"/>
    <w:rsid w:val="006B58F4"/>
    <w:rsid w:val="006B6C6E"/>
    <w:rsid w:val="006C0DF2"/>
    <w:rsid w:val="006C3600"/>
    <w:rsid w:val="006C368C"/>
    <w:rsid w:val="006C44B5"/>
    <w:rsid w:val="006C6ACE"/>
    <w:rsid w:val="006D02A4"/>
    <w:rsid w:val="006D1E6B"/>
    <w:rsid w:val="006E1270"/>
    <w:rsid w:val="006E3976"/>
    <w:rsid w:val="006E419F"/>
    <w:rsid w:val="006F1623"/>
    <w:rsid w:val="006F5951"/>
    <w:rsid w:val="006F5F72"/>
    <w:rsid w:val="006F7C82"/>
    <w:rsid w:val="00700ED9"/>
    <w:rsid w:val="007068DF"/>
    <w:rsid w:val="0070772F"/>
    <w:rsid w:val="00712D8D"/>
    <w:rsid w:val="00712DC7"/>
    <w:rsid w:val="007130AE"/>
    <w:rsid w:val="00716357"/>
    <w:rsid w:val="0072145A"/>
    <w:rsid w:val="0072742F"/>
    <w:rsid w:val="007275F4"/>
    <w:rsid w:val="0072763B"/>
    <w:rsid w:val="00733D68"/>
    <w:rsid w:val="00736318"/>
    <w:rsid w:val="00736441"/>
    <w:rsid w:val="007405FF"/>
    <w:rsid w:val="007413ED"/>
    <w:rsid w:val="0074199D"/>
    <w:rsid w:val="00750C37"/>
    <w:rsid w:val="007536BB"/>
    <w:rsid w:val="00761ED2"/>
    <w:rsid w:val="007651EB"/>
    <w:rsid w:val="00766C6A"/>
    <w:rsid w:val="00766CA1"/>
    <w:rsid w:val="00770DA0"/>
    <w:rsid w:val="00770F51"/>
    <w:rsid w:val="00773B6C"/>
    <w:rsid w:val="00773D68"/>
    <w:rsid w:val="0077448C"/>
    <w:rsid w:val="007762B1"/>
    <w:rsid w:val="007804CA"/>
    <w:rsid w:val="0078230D"/>
    <w:rsid w:val="00784196"/>
    <w:rsid w:val="00784251"/>
    <w:rsid w:val="00791D8A"/>
    <w:rsid w:val="007925EA"/>
    <w:rsid w:val="00794E7F"/>
    <w:rsid w:val="00795BE8"/>
    <w:rsid w:val="00796F76"/>
    <w:rsid w:val="00797156"/>
    <w:rsid w:val="007972BB"/>
    <w:rsid w:val="007A2C4B"/>
    <w:rsid w:val="007A6EBD"/>
    <w:rsid w:val="007A7314"/>
    <w:rsid w:val="007B0DC7"/>
    <w:rsid w:val="007B3375"/>
    <w:rsid w:val="007B54E9"/>
    <w:rsid w:val="007B5C3B"/>
    <w:rsid w:val="007B639D"/>
    <w:rsid w:val="007B72E2"/>
    <w:rsid w:val="007C124D"/>
    <w:rsid w:val="007C2A7A"/>
    <w:rsid w:val="007C6B2F"/>
    <w:rsid w:val="007C7301"/>
    <w:rsid w:val="007D244A"/>
    <w:rsid w:val="007D35D3"/>
    <w:rsid w:val="007D4C8A"/>
    <w:rsid w:val="007D5BB8"/>
    <w:rsid w:val="007D6D6A"/>
    <w:rsid w:val="007E448A"/>
    <w:rsid w:val="007E460C"/>
    <w:rsid w:val="007E5706"/>
    <w:rsid w:val="007F043F"/>
    <w:rsid w:val="007F569E"/>
    <w:rsid w:val="007F5A29"/>
    <w:rsid w:val="00803A31"/>
    <w:rsid w:val="00805674"/>
    <w:rsid w:val="00807BEC"/>
    <w:rsid w:val="00807E18"/>
    <w:rsid w:val="00810134"/>
    <w:rsid w:val="00810252"/>
    <w:rsid w:val="0081499F"/>
    <w:rsid w:val="008155DC"/>
    <w:rsid w:val="00815757"/>
    <w:rsid w:val="00820DEF"/>
    <w:rsid w:val="0082224A"/>
    <w:rsid w:val="00824961"/>
    <w:rsid w:val="00830D1B"/>
    <w:rsid w:val="00843156"/>
    <w:rsid w:val="00847A05"/>
    <w:rsid w:val="00847FE2"/>
    <w:rsid w:val="00854054"/>
    <w:rsid w:val="00855538"/>
    <w:rsid w:val="0085702C"/>
    <w:rsid w:val="00860E6D"/>
    <w:rsid w:val="00861607"/>
    <w:rsid w:val="008679AE"/>
    <w:rsid w:val="008739DA"/>
    <w:rsid w:val="00875411"/>
    <w:rsid w:val="00877DD7"/>
    <w:rsid w:val="008810F0"/>
    <w:rsid w:val="00881FDB"/>
    <w:rsid w:val="008837C1"/>
    <w:rsid w:val="0088576D"/>
    <w:rsid w:val="0088792A"/>
    <w:rsid w:val="0089008F"/>
    <w:rsid w:val="00895CEC"/>
    <w:rsid w:val="008A1D63"/>
    <w:rsid w:val="008A3D3B"/>
    <w:rsid w:val="008B056F"/>
    <w:rsid w:val="008B446B"/>
    <w:rsid w:val="008B4590"/>
    <w:rsid w:val="008B54D8"/>
    <w:rsid w:val="008B6626"/>
    <w:rsid w:val="008B6FFD"/>
    <w:rsid w:val="008C0054"/>
    <w:rsid w:val="008C181C"/>
    <w:rsid w:val="008C37C1"/>
    <w:rsid w:val="008C4102"/>
    <w:rsid w:val="008C635B"/>
    <w:rsid w:val="008C7F68"/>
    <w:rsid w:val="008D0110"/>
    <w:rsid w:val="008D17AE"/>
    <w:rsid w:val="008D4C90"/>
    <w:rsid w:val="008D7C9E"/>
    <w:rsid w:val="008E6143"/>
    <w:rsid w:val="008F2EBA"/>
    <w:rsid w:val="008F6806"/>
    <w:rsid w:val="0090133F"/>
    <w:rsid w:val="00902EB4"/>
    <w:rsid w:val="009073C0"/>
    <w:rsid w:val="00907EDA"/>
    <w:rsid w:val="0091262E"/>
    <w:rsid w:val="0091349F"/>
    <w:rsid w:val="00915FE3"/>
    <w:rsid w:val="00916242"/>
    <w:rsid w:val="0091638B"/>
    <w:rsid w:val="009173C8"/>
    <w:rsid w:val="00920D01"/>
    <w:rsid w:val="00932F43"/>
    <w:rsid w:val="009331E4"/>
    <w:rsid w:val="00935E97"/>
    <w:rsid w:val="009360D4"/>
    <w:rsid w:val="009360D9"/>
    <w:rsid w:val="00944094"/>
    <w:rsid w:val="00944A0D"/>
    <w:rsid w:val="009479C8"/>
    <w:rsid w:val="00955FC3"/>
    <w:rsid w:val="009573A8"/>
    <w:rsid w:val="0095765D"/>
    <w:rsid w:val="009578CD"/>
    <w:rsid w:val="00957A4E"/>
    <w:rsid w:val="00960D52"/>
    <w:rsid w:val="0097697B"/>
    <w:rsid w:val="00983FA9"/>
    <w:rsid w:val="00984287"/>
    <w:rsid w:val="0098440D"/>
    <w:rsid w:val="009860DD"/>
    <w:rsid w:val="00993227"/>
    <w:rsid w:val="009978ED"/>
    <w:rsid w:val="009A02A8"/>
    <w:rsid w:val="009A0DC4"/>
    <w:rsid w:val="009A3D94"/>
    <w:rsid w:val="009A3EAD"/>
    <w:rsid w:val="009B07E8"/>
    <w:rsid w:val="009B657C"/>
    <w:rsid w:val="009B7268"/>
    <w:rsid w:val="009C1158"/>
    <w:rsid w:val="009C478E"/>
    <w:rsid w:val="009C56F1"/>
    <w:rsid w:val="009C64A4"/>
    <w:rsid w:val="009C6B24"/>
    <w:rsid w:val="009C743E"/>
    <w:rsid w:val="009D1F58"/>
    <w:rsid w:val="009D315C"/>
    <w:rsid w:val="009D5191"/>
    <w:rsid w:val="009D60F4"/>
    <w:rsid w:val="009D6D80"/>
    <w:rsid w:val="009E0D5B"/>
    <w:rsid w:val="009E7C01"/>
    <w:rsid w:val="009F029B"/>
    <w:rsid w:val="009F4790"/>
    <w:rsid w:val="009F498F"/>
    <w:rsid w:val="009F7CAE"/>
    <w:rsid w:val="009F7CF1"/>
    <w:rsid w:val="00A00870"/>
    <w:rsid w:val="00A0183C"/>
    <w:rsid w:val="00A018EA"/>
    <w:rsid w:val="00A047C0"/>
    <w:rsid w:val="00A04A71"/>
    <w:rsid w:val="00A04F7A"/>
    <w:rsid w:val="00A14059"/>
    <w:rsid w:val="00A158F9"/>
    <w:rsid w:val="00A15E21"/>
    <w:rsid w:val="00A20B78"/>
    <w:rsid w:val="00A30496"/>
    <w:rsid w:val="00A313E2"/>
    <w:rsid w:val="00A3205D"/>
    <w:rsid w:val="00A32896"/>
    <w:rsid w:val="00A339F1"/>
    <w:rsid w:val="00A37754"/>
    <w:rsid w:val="00A37A49"/>
    <w:rsid w:val="00A4009A"/>
    <w:rsid w:val="00A42449"/>
    <w:rsid w:val="00A47B7D"/>
    <w:rsid w:val="00A5029E"/>
    <w:rsid w:val="00A50AD1"/>
    <w:rsid w:val="00A5613B"/>
    <w:rsid w:val="00A57694"/>
    <w:rsid w:val="00A670E5"/>
    <w:rsid w:val="00A70B37"/>
    <w:rsid w:val="00A80D75"/>
    <w:rsid w:val="00A80FEC"/>
    <w:rsid w:val="00A82383"/>
    <w:rsid w:val="00A834D2"/>
    <w:rsid w:val="00A91498"/>
    <w:rsid w:val="00A91DDF"/>
    <w:rsid w:val="00A93399"/>
    <w:rsid w:val="00A935E4"/>
    <w:rsid w:val="00A935FD"/>
    <w:rsid w:val="00A96817"/>
    <w:rsid w:val="00A96CCE"/>
    <w:rsid w:val="00AA036E"/>
    <w:rsid w:val="00AA041D"/>
    <w:rsid w:val="00AA224B"/>
    <w:rsid w:val="00AA369B"/>
    <w:rsid w:val="00AA681D"/>
    <w:rsid w:val="00AB024A"/>
    <w:rsid w:val="00AB1D02"/>
    <w:rsid w:val="00AB4C3D"/>
    <w:rsid w:val="00AB5EE2"/>
    <w:rsid w:val="00AC2AB5"/>
    <w:rsid w:val="00AC64C9"/>
    <w:rsid w:val="00AC6D72"/>
    <w:rsid w:val="00AD063A"/>
    <w:rsid w:val="00AD0CE3"/>
    <w:rsid w:val="00AD157D"/>
    <w:rsid w:val="00AD2E17"/>
    <w:rsid w:val="00AD3608"/>
    <w:rsid w:val="00AD424E"/>
    <w:rsid w:val="00AD4455"/>
    <w:rsid w:val="00AD4A4A"/>
    <w:rsid w:val="00AD5B59"/>
    <w:rsid w:val="00AD5D14"/>
    <w:rsid w:val="00AD6F89"/>
    <w:rsid w:val="00AE6812"/>
    <w:rsid w:val="00AE6E3A"/>
    <w:rsid w:val="00AE7C90"/>
    <w:rsid w:val="00AF3187"/>
    <w:rsid w:val="00AF446A"/>
    <w:rsid w:val="00AF555C"/>
    <w:rsid w:val="00B016EB"/>
    <w:rsid w:val="00B02E85"/>
    <w:rsid w:val="00B03F17"/>
    <w:rsid w:val="00B11E00"/>
    <w:rsid w:val="00B14519"/>
    <w:rsid w:val="00B30FC7"/>
    <w:rsid w:val="00B339D8"/>
    <w:rsid w:val="00B42A23"/>
    <w:rsid w:val="00B4431B"/>
    <w:rsid w:val="00B44BBE"/>
    <w:rsid w:val="00B45EC6"/>
    <w:rsid w:val="00B5330B"/>
    <w:rsid w:val="00B54DE1"/>
    <w:rsid w:val="00B570F9"/>
    <w:rsid w:val="00B5727A"/>
    <w:rsid w:val="00B57CA6"/>
    <w:rsid w:val="00B64468"/>
    <w:rsid w:val="00B71576"/>
    <w:rsid w:val="00B728D7"/>
    <w:rsid w:val="00B73D82"/>
    <w:rsid w:val="00B75FCF"/>
    <w:rsid w:val="00B80D21"/>
    <w:rsid w:val="00B84252"/>
    <w:rsid w:val="00B843B9"/>
    <w:rsid w:val="00B86BAD"/>
    <w:rsid w:val="00B950C2"/>
    <w:rsid w:val="00B95193"/>
    <w:rsid w:val="00B95953"/>
    <w:rsid w:val="00B95E25"/>
    <w:rsid w:val="00B96D35"/>
    <w:rsid w:val="00B970ED"/>
    <w:rsid w:val="00BA1D6C"/>
    <w:rsid w:val="00BA27AD"/>
    <w:rsid w:val="00BA2D14"/>
    <w:rsid w:val="00BA3E55"/>
    <w:rsid w:val="00BA47C5"/>
    <w:rsid w:val="00BA777B"/>
    <w:rsid w:val="00BB2E6A"/>
    <w:rsid w:val="00BC1B25"/>
    <w:rsid w:val="00BC427B"/>
    <w:rsid w:val="00BC5652"/>
    <w:rsid w:val="00BD442C"/>
    <w:rsid w:val="00BD7205"/>
    <w:rsid w:val="00BE0D82"/>
    <w:rsid w:val="00BF41B7"/>
    <w:rsid w:val="00C016BA"/>
    <w:rsid w:val="00C027B7"/>
    <w:rsid w:val="00C03194"/>
    <w:rsid w:val="00C0323A"/>
    <w:rsid w:val="00C03DFF"/>
    <w:rsid w:val="00C073CC"/>
    <w:rsid w:val="00C10884"/>
    <w:rsid w:val="00C11B12"/>
    <w:rsid w:val="00C11E69"/>
    <w:rsid w:val="00C12351"/>
    <w:rsid w:val="00C17716"/>
    <w:rsid w:val="00C24C77"/>
    <w:rsid w:val="00C26988"/>
    <w:rsid w:val="00C275CE"/>
    <w:rsid w:val="00C303DF"/>
    <w:rsid w:val="00C30600"/>
    <w:rsid w:val="00C31071"/>
    <w:rsid w:val="00C35721"/>
    <w:rsid w:val="00C4455A"/>
    <w:rsid w:val="00C453C5"/>
    <w:rsid w:val="00C46DDC"/>
    <w:rsid w:val="00C54CEB"/>
    <w:rsid w:val="00C55E06"/>
    <w:rsid w:val="00C572A5"/>
    <w:rsid w:val="00C60119"/>
    <w:rsid w:val="00C62C73"/>
    <w:rsid w:val="00C64638"/>
    <w:rsid w:val="00C64872"/>
    <w:rsid w:val="00C66C93"/>
    <w:rsid w:val="00C730CA"/>
    <w:rsid w:val="00C7509B"/>
    <w:rsid w:val="00C75966"/>
    <w:rsid w:val="00C763B2"/>
    <w:rsid w:val="00C77714"/>
    <w:rsid w:val="00C80585"/>
    <w:rsid w:val="00C837C9"/>
    <w:rsid w:val="00C839DE"/>
    <w:rsid w:val="00C84907"/>
    <w:rsid w:val="00C85F94"/>
    <w:rsid w:val="00C86BFE"/>
    <w:rsid w:val="00C918DC"/>
    <w:rsid w:val="00C9412C"/>
    <w:rsid w:val="00C9494A"/>
    <w:rsid w:val="00CA377B"/>
    <w:rsid w:val="00CA6598"/>
    <w:rsid w:val="00CA7465"/>
    <w:rsid w:val="00CA7796"/>
    <w:rsid w:val="00CB11AA"/>
    <w:rsid w:val="00CB1DD9"/>
    <w:rsid w:val="00CB205C"/>
    <w:rsid w:val="00CB256F"/>
    <w:rsid w:val="00CB2D17"/>
    <w:rsid w:val="00CB4116"/>
    <w:rsid w:val="00CC38D9"/>
    <w:rsid w:val="00CC4A44"/>
    <w:rsid w:val="00CC5D70"/>
    <w:rsid w:val="00CD1851"/>
    <w:rsid w:val="00CD3273"/>
    <w:rsid w:val="00CE4821"/>
    <w:rsid w:val="00CE6573"/>
    <w:rsid w:val="00CE6CE2"/>
    <w:rsid w:val="00CF64A0"/>
    <w:rsid w:val="00D00E17"/>
    <w:rsid w:val="00D10BDF"/>
    <w:rsid w:val="00D21465"/>
    <w:rsid w:val="00D22038"/>
    <w:rsid w:val="00D24586"/>
    <w:rsid w:val="00D31F3A"/>
    <w:rsid w:val="00D34D85"/>
    <w:rsid w:val="00D408C7"/>
    <w:rsid w:val="00D4095B"/>
    <w:rsid w:val="00D43AB1"/>
    <w:rsid w:val="00D45794"/>
    <w:rsid w:val="00D46B42"/>
    <w:rsid w:val="00D47A06"/>
    <w:rsid w:val="00D60B05"/>
    <w:rsid w:val="00D60B09"/>
    <w:rsid w:val="00D62854"/>
    <w:rsid w:val="00D65669"/>
    <w:rsid w:val="00D67439"/>
    <w:rsid w:val="00D7237E"/>
    <w:rsid w:val="00D7296F"/>
    <w:rsid w:val="00D730B6"/>
    <w:rsid w:val="00D734BC"/>
    <w:rsid w:val="00D758E7"/>
    <w:rsid w:val="00D75C5D"/>
    <w:rsid w:val="00D80047"/>
    <w:rsid w:val="00D80879"/>
    <w:rsid w:val="00D83596"/>
    <w:rsid w:val="00D8694A"/>
    <w:rsid w:val="00DA0392"/>
    <w:rsid w:val="00DA28EB"/>
    <w:rsid w:val="00DA5C10"/>
    <w:rsid w:val="00DB0F99"/>
    <w:rsid w:val="00DB2AA1"/>
    <w:rsid w:val="00DB3695"/>
    <w:rsid w:val="00DB3B3F"/>
    <w:rsid w:val="00DB45A2"/>
    <w:rsid w:val="00DB5AAB"/>
    <w:rsid w:val="00DC2972"/>
    <w:rsid w:val="00DC3206"/>
    <w:rsid w:val="00DC36E4"/>
    <w:rsid w:val="00DC4675"/>
    <w:rsid w:val="00DC477A"/>
    <w:rsid w:val="00DC5732"/>
    <w:rsid w:val="00DD08BC"/>
    <w:rsid w:val="00DD45D4"/>
    <w:rsid w:val="00DD4A36"/>
    <w:rsid w:val="00DE7F8D"/>
    <w:rsid w:val="00DF1C2C"/>
    <w:rsid w:val="00DF1F2C"/>
    <w:rsid w:val="00DF31D6"/>
    <w:rsid w:val="00DF3B0E"/>
    <w:rsid w:val="00DF44DE"/>
    <w:rsid w:val="00DF5E44"/>
    <w:rsid w:val="00E01C1B"/>
    <w:rsid w:val="00E02223"/>
    <w:rsid w:val="00E02B15"/>
    <w:rsid w:val="00E04662"/>
    <w:rsid w:val="00E0785C"/>
    <w:rsid w:val="00E11E57"/>
    <w:rsid w:val="00E120B9"/>
    <w:rsid w:val="00E13526"/>
    <w:rsid w:val="00E15718"/>
    <w:rsid w:val="00E15BCC"/>
    <w:rsid w:val="00E230FC"/>
    <w:rsid w:val="00E32C6E"/>
    <w:rsid w:val="00E34EA8"/>
    <w:rsid w:val="00E40DA4"/>
    <w:rsid w:val="00E415FC"/>
    <w:rsid w:val="00E55D7E"/>
    <w:rsid w:val="00E57B96"/>
    <w:rsid w:val="00E62B3E"/>
    <w:rsid w:val="00E64239"/>
    <w:rsid w:val="00E64D17"/>
    <w:rsid w:val="00E65879"/>
    <w:rsid w:val="00E675D9"/>
    <w:rsid w:val="00E70A58"/>
    <w:rsid w:val="00E73745"/>
    <w:rsid w:val="00E8014C"/>
    <w:rsid w:val="00E80237"/>
    <w:rsid w:val="00E80B54"/>
    <w:rsid w:val="00E81FD3"/>
    <w:rsid w:val="00E84CC7"/>
    <w:rsid w:val="00E85743"/>
    <w:rsid w:val="00E8581E"/>
    <w:rsid w:val="00E85C0F"/>
    <w:rsid w:val="00E87F96"/>
    <w:rsid w:val="00E93EC9"/>
    <w:rsid w:val="00E94480"/>
    <w:rsid w:val="00E978A1"/>
    <w:rsid w:val="00EA43B9"/>
    <w:rsid w:val="00EB3055"/>
    <w:rsid w:val="00EB445B"/>
    <w:rsid w:val="00EC2317"/>
    <w:rsid w:val="00EC59D3"/>
    <w:rsid w:val="00EC6E0B"/>
    <w:rsid w:val="00EC799D"/>
    <w:rsid w:val="00EC7C45"/>
    <w:rsid w:val="00ED01B5"/>
    <w:rsid w:val="00ED292E"/>
    <w:rsid w:val="00ED3347"/>
    <w:rsid w:val="00ED7395"/>
    <w:rsid w:val="00EE3F8A"/>
    <w:rsid w:val="00EE41DE"/>
    <w:rsid w:val="00F0132D"/>
    <w:rsid w:val="00F0534A"/>
    <w:rsid w:val="00F058EA"/>
    <w:rsid w:val="00F070E3"/>
    <w:rsid w:val="00F11EF5"/>
    <w:rsid w:val="00F120A2"/>
    <w:rsid w:val="00F12BB9"/>
    <w:rsid w:val="00F155C3"/>
    <w:rsid w:val="00F20B93"/>
    <w:rsid w:val="00F22D89"/>
    <w:rsid w:val="00F26F17"/>
    <w:rsid w:val="00F33386"/>
    <w:rsid w:val="00F363B3"/>
    <w:rsid w:val="00F4301A"/>
    <w:rsid w:val="00F4308B"/>
    <w:rsid w:val="00F44685"/>
    <w:rsid w:val="00F522AE"/>
    <w:rsid w:val="00F55C8B"/>
    <w:rsid w:val="00F575B3"/>
    <w:rsid w:val="00F57834"/>
    <w:rsid w:val="00F65592"/>
    <w:rsid w:val="00F65623"/>
    <w:rsid w:val="00F70963"/>
    <w:rsid w:val="00F70F8C"/>
    <w:rsid w:val="00F756E5"/>
    <w:rsid w:val="00F77CD2"/>
    <w:rsid w:val="00F80B95"/>
    <w:rsid w:val="00F81BFB"/>
    <w:rsid w:val="00FA031F"/>
    <w:rsid w:val="00FA0569"/>
    <w:rsid w:val="00FA2C4F"/>
    <w:rsid w:val="00FA746E"/>
    <w:rsid w:val="00FC00A0"/>
    <w:rsid w:val="00FC00E6"/>
    <w:rsid w:val="00FC156B"/>
    <w:rsid w:val="00FC2FD9"/>
    <w:rsid w:val="00FD284F"/>
    <w:rsid w:val="00FD2C72"/>
    <w:rsid w:val="00FD30A4"/>
    <w:rsid w:val="00FD50B4"/>
    <w:rsid w:val="00FD5802"/>
    <w:rsid w:val="00FD64A0"/>
    <w:rsid w:val="00FD6E56"/>
    <w:rsid w:val="00FE390D"/>
    <w:rsid w:val="00FE3D3B"/>
    <w:rsid w:val="00FE752F"/>
    <w:rsid w:val="00FF2A39"/>
    <w:rsid w:val="00FF5CAC"/>
    <w:rsid w:val="00FF5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7EC939"/>
  <w15:docId w15:val="{FA2DB548-4618-4E77-9666-4D06765F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193"/>
    <w:pPr>
      <w:spacing w:after="200" w:line="276" w:lineRule="auto"/>
    </w:pPr>
    <w:rPr>
      <w:sz w:val="22"/>
      <w:szCs w:val="22"/>
    </w:rPr>
  </w:style>
  <w:style w:type="paragraph" w:styleId="Heading3">
    <w:name w:val="heading 3"/>
    <w:basedOn w:val="Normal"/>
    <w:next w:val="Normal"/>
    <w:link w:val="Heading3Char"/>
    <w:uiPriority w:val="9"/>
    <w:qFormat/>
    <w:rsid w:val="00CA6598"/>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0B4"/>
  </w:style>
  <w:style w:type="paragraph" w:styleId="Footer">
    <w:name w:val="footer"/>
    <w:basedOn w:val="Normal"/>
    <w:link w:val="FooterChar"/>
    <w:unhideWhenUsed/>
    <w:rsid w:val="00FD5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0B4"/>
  </w:style>
  <w:style w:type="paragraph" w:styleId="BalloonText">
    <w:name w:val="Balloon Text"/>
    <w:basedOn w:val="Normal"/>
    <w:link w:val="BalloonTextChar"/>
    <w:uiPriority w:val="99"/>
    <w:semiHidden/>
    <w:unhideWhenUsed/>
    <w:rsid w:val="00FD50B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D50B4"/>
    <w:rPr>
      <w:rFonts w:ascii="Tahoma" w:hAnsi="Tahoma" w:cs="Tahoma"/>
      <w:sz w:val="16"/>
      <w:szCs w:val="16"/>
    </w:rPr>
  </w:style>
  <w:style w:type="paragraph" w:customStyle="1" w:styleId="ColorfulList-Accent11">
    <w:name w:val="Colorful List - Accent 11"/>
    <w:aliases w:val="List Paragraph (numbered (a)),References,WB List Paragraph,Dot pt,F5 List Paragraph,List Paragraph1,No Spacing1,List Paragraph Char Char Char,Indicator Text,Numbered Para 1,Bullet 1,Bullet Points"/>
    <w:basedOn w:val="Normal"/>
    <w:link w:val="ColorfulList-Accent1Char"/>
    <w:qFormat/>
    <w:rsid w:val="00E57B96"/>
    <w:pPr>
      <w:ind w:left="720"/>
      <w:contextualSpacing/>
    </w:pPr>
  </w:style>
  <w:style w:type="character" w:styleId="FootnoteReference">
    <w:name w:val="footnote reference"/>
    <w:semiHidden/>
    <w:rsid w:val="00FC2FD9"/>
    <w:rPr>
      <w:vertAlign w:val="superscript"/>
    </w:rPr>
  </w:style>
  <w:style w:type="paragraph" w:styleId="FootnoteText">
    <w:name w:val="footnote text"/>
    <w:basedOn w:val="Normal"/>
    <w:link w:val="FootnoteTextChar"/>
    <w:semiHidden/>
    <w:rsid w:val="00FC2FD9"/>
    <w:pPr>
      <w:spacing w:after="0" w:line="240" w:lineRule="auto"/>
    </w:pPr>
    <w:rPr>
      <w:rFonts w:ascii="Courier" w:eastAsia="MS Mincho" w:hAnsi="Courier"/>
      <w:sz w:val="20"/>
      <w:szCs w:val="20"/>
    </w:rPr>
  </w:style>
  <w:style w:type="character" w:customStyle="1" w:styleId="FootnoteTextChar">
    <w:name w:val="Footnote Text Char"/>
    <w:link w:val="FootnoteText"/>
    <w:semiHidden/>
    <w:rsid w:val="00FC2FD9"/>
    <w:rPr>
      <w:rFonts w:ascii="Courier" w:eastAsia="MS Mincho" w:hAnsi="Courier" w:cs="Times New Roman"/>
      <w:sz w:val="20"/>
      <w:szCs w:val="20"/>
    </w:rPr>
  </w:style>
  <w:style w:type="paragraph" w:customStyle="1" w:styleId="MediumGrid21">
    <w:name w:val="Medium Grid 21"/>
    <w:uiPriority w:val="1"/>
    <w:qFormat/>
    <w:rsid w:val="00C03194"/>
    <w:rPr>
      <w:sz w:val="22"/>
      <w:szCs w:val="22"/>
    </w:rPr>
  </w:style>
  <w:style w:type="character" w:styleId="Hyperlink">
    <w:name w:val="Hyperlink"/>
    <w:uiPriority w:val="99"/>
    <w:unhideWhenUsed/>
    <w:rsid w:val="00B11E00"/>
    <w:rPr>
      <w:color w:val="0000FF"/>
      <w:u w:val="single"/>
    </w:rPr>
  </w:style>
  <w:style w:type="paragraph" w:styleId="NormalWeb">
    <w:name w:val="Normal (Web)"/>
    <w:basedOn w:val="Normal"/>
    <w:uiPriority w:val="99"/>
    <w:unhideWhenUsed/>
    <w:rsid w:val="00B11E00"/>
    <w:pPr>
      <w:spacing w:before="100" w:beforeAutospacing="1" w:after="100" w:afterAutospacing="1" w:line="312" w:lineRule="auto"/>
    </w:pPr>
    <w:rPr>
      <w:rFonts w:ascii="Times New Roman" w:eastAsia="Times New Roman" w:hAnsi="Times New Roman"/>
      <w:sz w:val="24"/>
      <w:szCs w:val="24"/>
    </w:rPr>
  </w:style>
  <w:style w:type="character" w:styleId="CommentReference">
    <w:name w:val="annotation reference"/>
    <w:uiPriority w:val="99"/>
    <w:semiHidden/>
    <w:unhideWhenUsed/>
    <w:rsid w:val="00D408C7"/>
    <w:rPr>
      <w:sz w:val="16"/>
      <w:szCs w:val="16"/>
    </w:rPr>
  </w:style>
  <w:style w:type="paragraph" w:styleId="CommentText">
    <w:name w:val="annotation text"/>
    <w:basedOn w:val="Normal"/>
    <w:link w:val="CommentTextChar"/>
    <w:uiPriority w:val="99"/>
    <w:unhideWhenUsed/>
    <w:rsid w:val="00D408C7"/>
    <w:rPr>
      <w:sz w:val="20"/>
      <w:szCs w:val="20"/>
    </w:rPr>
  </w:style>
  <w:style w:type="character" w:customStyle="1" w:styleId="CommentTextChar">
    <w:name w:val="Comment Text Char"/>
    <w:basedOn w:val="DefaultParagraphFont"/>
    <w:link w:val="CommentText"/>
    <w:uiPriority w:val="99"/>
    <w:rsid w:val="00D408C7"/>
  </w:style>
  <w:style w:type="paragraph" w:styleId="CommentSubject">
    <w:name w:val="annotation subject"/>
    <w:basedOn w:val="CommentText"/>
    <w:next w:val="CommentText"/>
    <w:link w:val="CommentSubjectChar"/>
    <w:uiPriority w:val="99"/>
    <w:semiHidden/>
    <w:unhideWhenUsed/>
    <w:rsid w:val="00D408C7"/>
    <w:rPr>
      <w:b/>
      <w:bCs/>
    </w:rPr>
  </w:style>
  <w:style w:type="character" w:customStyle="1" w:styleId="CommentSubjectChar">
    <w:name w:val="Comment Subject Char"/>
    <w:link w:val="CommentSubject"/>
    <w:uiPriority w:val="99"/>
    <w:semiHidden/>
    <w:rsid w:val="00D408C7"/>
    <w:rPr>
      <w:b/>
      <w:bCs/>
    </w:rPr>
  </w:style>
  <w:style w:type="character" w:styleId="FollowedHyperlink">
    <w:name w:val="FollowedHyperlink"/>
    <w:uiPriority w:val="99"/>
    <w:semiHidden/>
    <w:unhideWhenUsed/>
    <w:rsid w:val="00944094"/>
    <w:rPr>
      <w:color w:val="800080"/>
      <w:u w:val="single"/>
    </w:rPr>
  </w:style>
  <w:style w:type="paragraph" w:styleId="EndnoteText">
    <w:name w:val="endnote text"/>
    <w:basedOn w:val="Normal"/>
    <w:link w:val="EndnoteTextChar"/>
    <w:uiPriority w:val="99"/>
    <w:semiHidden/>
    <w:unhideWhenUsed/>
    <w:rsid w:val="0088792A"/>
    <w:rPr>
      <w:sz w:val="20"/>
      <w:szCs w:val="20"/>
    </w:rPr>
  </w:style>
  <w:style w:type="character" w:customStyle="1" w:styleId="EndnoteTextChar">
    <w:name w:val="Endnote Text Char"/>
    <w:basedOn w:val="DefaultParagraphFont"/>
    <w:link w:val="EndnoteText"/>
    <w:uiPriority w:val="99"/>
    <w:semiHidden/>
    <w:rsid w:val="0088792A"/>
  </w:style>
  <w:style w:type="character" w:styleId="EndnoteReference">
    <w:name w:val="endnote reference"/>
    <w:uiPriority w:val="99"/>
    <w:semiHidden/>
    <w:unhideWhenUsed/>
    <w:rsid w:val="0088792A"/>
    <w:rPr>
      <w:vertAlign w:val="superscript"/>
    </w:rPr>
  </w:style>
  <w:style w:type="paragraph" w:styleId="PlainText">
    <w:name w:val="Plain Text"/>
    <w:basedOn w:val="Normal"/>
    <w:link w:val="PlainTextChar"/>
    <w:uiPriority w:val="99"/>
    <w:semiHidden/>
    <w:unhideWhenUsed/>
    <w:rsid w:val="005D463F"/>
    <w:pPr>
      <w:spacing w:after="0" w:line="240" w:lineRule="auto"/>
    </w:pPr>
    <w:rPr>
      <w:color w:val="1F497D"/>
      <w:szCs w:val="21"/>
    </w:rPr>
  </w:style>
  <w:style w:type="character" w:customStyle="1" w:styleId="PlainTextChar">
    <w:name w:val="Plain Text Char"/>
    <w:link w:val="PlainText"/>
    <w:uiPriority w:val="99"/>
    <w:semiHidden/>
    <w:rsid w:val="005D463F"/>
    <w:rPr>
      <w:rFonts w:eastAsia="Calibri" w:cs="Times New Roman"/>
      <w:color w:val="1F497D"/>
      <w:sz w:val="22"/>
      <w:szCs w:val="21"/>
    </w:rPr>
  </w:style>
  <w:style w:type="paragraph" w:customStyle="1" w:styleId="reporttitle">
    <w:name w:val="report_title"/>
    <w:basedOn w:val="Normal"/>
    <w:autoRedefine/>
    <w:rsid w:val="00CA6598"/>
    <w:pPr>
      <w:spacing w:after="0" w:line="240" w:lineRule="auto"/>
    </w:pPr>
    <w:rPr>
      <w:rFonts w:ascii="Arial" w:hAnsi="Arial"/>
      <w:color w:val="00498B"/>
      <w:spacing w:val="-8"/>
      <w:sz w:val="52"/>
      <w:szCs w:val="20"/>
    </w:rPr>
  </w:style>
  <w:style w:type="paragraph" w:customStyle="1" w:styleId="reportcovermaintitle">
    <w:name w:val="report_cover_maintitle"/>
    <w:basedOn w:val="Heading3"/>
    <w:autoRedefine/>
    <w:rsid w:val="00CA6598"/>
    <w:pPr>
      <w:spacing w:before="0" w:after="200" w:line="840" w:lineRule="exact"/>
      <w:jc w:val="right"/>
    </w:pPr>
    <w:rPr>
      <w:rFonts w:ascii="Arial" w:eastAsia="Calibri" w:hAnsi="Arial"/>
      <w:b w:val="0"/>
      <w:bCs w:val="0"/>
      <w:color w:val="00498B"/>
      <w:spacing w:val="-40"/>
      <w:sz w:val="84"/>
      <w:szCs w:val="20"/>
    </w:rPr>
  </w:style>
  <w:style w:type="paragraph" w:customStyle="1" w:styleId="reportcoversubtitle">
    <w:name w:val="report_cover_subtitle"/>
    <w:basedOn w:val="Normal"/>
    <w:rsid w:val="00CA6598"/>
    <w:pPr>
      <w:spacing w:after="0" w:line="480" w:lineRule="exact"/>
      <w:jc w:val="right"/>
    </w:pPr>
    <w:rPr>
      <w:rFonts w:ascii="Arial" w:hAnsi="Arial"/>
      <w:sz w:val="48"/>
      <w:szCs w:val="20"/>
    </w:rPr>
  </w:style>
  <w:style w:type="character" w:customStyle="1" w:styleId="Heading3Char">
    <w:name w:val="Heading 3 Char"/>
    <w:link w:val="Heading3"/>
    <w:uiPriority w:val="9"/>
    <w:semiHidden/>
    <w:rsid w:val="00CA6598"/>
    <w:rPr>
      <w:rFonts w:ascii="Cambria" w:eastAsia="Times New Roman" w:hAnsi="Cambria" w:cs="Times New Roman"/>
      <w:b/>
      <w:bCs/>
      <w:sz w:val="26"/>
      <w:szCs w:val="26"/>
    </w:rPr>
  </w:style>
  <w:style w:type="paragraph" w:styleId="Subtitle">
    <w:name w:val="Subtitle"/>
    <w:basedOn w:val="Normal"/>
    <w:link w:val="SubtitleChar"/>
    <w:qFormat/>
    <w:rsid w:val="00EC7C45"/>
    <w:pPr>
      <w:tabs>
        <w:tab w:val="center" w:pos="4680"/>
        <w:tab w:val="left" w:pos="5040"/>
        <w:tab w:val="center" w:pos="5400"/>
      </w:tabs>
      <w:spacing w:after="0" w:line="240" w:lineRule="auto"/>
      <w:jc w:val="center"/>
    </w:pPr>
    <w:rPr>
      <w:rFonts w:ascii="Times New Roman" w:eastAsia="Times New Roman" w:hAnsi="Times New Roman"/>
      <w:b/>
      <w:sz w:val="24"/>
      <w:szCs w:val="24"/>
    </w:rPr>
  </w:style>
  <w:style w:type="character" w:customStyle="1" w:styleId="SubtitleChar">
    <w:name w:val="Subtitle Char"/>
    <w:link w:val="Subtitle"/>
    <w:rsid w:val="00EC7C45"/>
    <w:rPr>
      <w:rFonts w:ascii="Times New Roman" w:eastAsia="Times New Roman" w:hAnsi="Times New Roman"/>
      <w:b/>
      <w:sz w:val="24"/>
      <w:szCs w:val="24"/>
    </w:rPr>
  </w:style>
  <w:style w:type="paragraph" w:styleId="Title">
    <w:name w:val="Title"/>
    <w:basedOn w:val="Normal"/>
    <w:link w:val="TitleChar"/>
    <w:qFormat/>
    <w:rsid w:val="00EC7C45"/>
    <w:pPr>
      <w:tabs>
        <w:tab w:val="center" w:pos="4680"/>
        <w:tab w:val="left" w:pos="5040"/>
        <w:tab w:val="center" w:pos="5400"/>
      </w:tabs>
      <w:spacing w:after="0" w:line="240" w:lineRule="auto"/>
      <w:jc w:val="center"/>
    </w:pPr>
    <w:rPr>
      <w:rFonts w:ascii="Times New Roman" w:eastAsia="Times New Roman" w:hAnsi="Times New Roman"/>
      <w:b/>
      <w:sz w:val="24"/>
      <w:szCs w:val="24"/>
    </w:rPr>
  </w:style>
  <w:style w:type="character" w:customStyle="1" w:styleId="TitleChar">
    <w:name w:val="Title Char"/>
    <w:link w:val="Title"/>
    <w:rsid w:val="00EC7C45"/>
    <w:rPr>
      <w:rFonts w:ascii="Times New Roman" w:eastAsia="Times New Roman" w:hAnsi="Times New Roman"/>
      <w:b/>
      <w:sz w:val="24"/>
      <w:szCs w:val="24"/>
    </w:rPr>
  </w:style>
  <w:style w:type="paragraph" w:styleId="BodyText">
    <w:name w:val="Body Text"/>
    <w:basedOn w:val="Normal"/>
    <w:link w:val="BodyTextChar"/>
    <w:rsid w:val="00EC7C45"/>
    <w:pPr>
      <w:tabs>
        <w:tab w:val="left" w:pos="-720"/>
      </w:tabs>
      <w:suppressAutoHyphens/>
      <w:spacing w:after="0" w:line="240" w:lineRule="auto"/>
      <w:jc w:val="both"/>
    </w:pPr>
    <w:rPr>
      <w:rFonts w:ascii="Times New Roman" w:eastAsia="Times New Roman" w:hAnsi="Times New Roman"/>
      <w:sz w:val="24"/>
      <w:szCs w:val="24"/>
    </w:rPr>
  </w:style>
  <w:style w:type="character" w:customStyle="1" w:styleId="BodyTextChar">
    <w:name w:val="Body Text Char"/>
    <w:link w:val="BodyText"/>
    <w:rsid w:val="00EC7C45"/>
    <w:rPr>
      <w:rFonts w:ascii="Times New Roman" w:eastAsia="Times New Roman" w:hAnsi="Times New Roman"/>
      <w:sz w:val="24"/>
      <w:szCs w:val="24"/>
    </w:rPr>
  </w:style>
  <w:style w:type="character" w:styleId="PageNumber">
    <w:name w:val="page number"/>
    <w:basedOn w:val="DefaultParagraphFont"/>
    <w:rsid w:val="00EC7C45"/>
  </w:style>
  <w:style w:type="paragraph" w:styleId="Caption">
    <w:name w:val="caption"/>
    <w:basedOn w:val="Normal"/>
    <w:next w:val="Normal"/>
    <w:qFormat/>
    <w:rsid w:val="007413ED"/>
    <w:pPr>
      <w:tabs>
        <w:tab w:val="left" w:pos="864"/>
        <w:tab w:val="left" w:pos="1584"/>
        <w:tab w:val="left" w:pos="2304"/>
      </w:tabs>
      <w:suppressAutoHyphens/>
      <w:spacing w:after="0" w:line="240" w:lineRule="auto"/>
      <w:jc w:val="center"/>
    </w:pPr>
    <w:rPr>
      <w:rFonts w:ascii="Times New Roman" w:eastAsia="Times New Roman" w:hAnsi="Times New Roman"/>
      <w:bCs/>
      <w:spacing w:val="-2"/>
      <w:sz w:val="24"/>
      <w:szCs w:val="24"/>
      <w:u w:val="single"/>
      <w:lang w:val="en-GB"/>
    </w:rPr>
  </w:style>
  <w:style w:type="character" w:customStyle="1" w:styleId="ColorfulList-Accent1Char">
    <w:name w:val="Colorful List - Accent 1 Char"/>
    <w:aliases w:val="List Paragraph (numbered (a)) Char,References Char,WB List Paragraph Char,Dot pt Char,F5 List Paragraph Char,List Paragraph1 Char,No Spacing1 Char,List Paragraph Char Char Char Char,Indicator Text Char,Numbered Para 1 Char"/>
    <w:link w:val="ColorfulList-Accent11"/>
    <w:qFormat/>
    <w:rsid w:val="00344F5B"/>
    <w:rPr>
      <w:sz w:val="22"/>
      <w:szCs w:val="22"/>
    </w:rPr>
  </w:style>
  <w:style w:type="paragraph" w:customStyle="1" w:styleId="Body">
    <w:name w:val="Body"/>
    <w:rsid w:val="00E11E57"/>
    <w:pPr>
      <w:pBdr>
        <w:top w:val="nil"/>
        <w:left w:val="nil"/>
        <w:bottom w:val="nil"/>
        <w:right w:val="nil"/>
        <w:between w:val="nil"/>
        <w:bar w:val="nil"/>
      </w:pBdr>
      <w:spacing w:after="160" w:line="259" w:lineRule="auto"/>
    </w:pPr>
    <w:rPr>
      <w:rFonts w:cs="Calibri"/>
      <w:color w:val="000000"/>
      <w:sz w:val="22"/>
      <w:szCs w:val="22"/>
      <w:u w:color="000000"/>
      <w:bdr w:val="nil"/>
    </w:rPr>
  </w:style>
  <w:style w:type="paragraph" w:styleId="ListParagraph">
    <w:name w:val="List Paragraph"/>
    <w:basedOn w:val="Normal"/>
    <w:qFormat/>
    <w:rsid w:val="00B33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426936">
      <w:bodyDiv w:val="1"/>
      <w:marLeft w:val="0"/>
      <w:marRight w:val="0"/>
      <w:marTop w:val="0"/>
      <w:marBottom w:val="0"/>
      <w:divBdr>
        <w:top w:val="none" w:sz="0" w:space="0" w:color="auto"/>
        <w:left w:val="none" w:sz="0" w:space="0" w:color="auto"/>
        <w:bottom w:val="none" w:sz="0" w:space="0" w:color="auto"/>
        <w:right w:val="none" w:sz="0" w:space="0" w:color="auto"/>
      </w:divBdr>
      <w:divsChild>
        <w:div w:id="1099520877">
          <w:marLeft w:val="0"/>
          <w:marRight w:val="0"/>
          <w:marTop w:val="0"/>
          <w:marBottom w:val="0"/>
          <w:divBdr>
            <w:top w:val="none" w:sz="0" w:space="0" w:color="auto"/>
            <w:left w:val="none" w:sz="0" w:space="0" w:color="auto"/>
            <w:bottom w:val="none" w:sz="0" w:space="0" w:color="auto"/>
            <w:right w:val="none" w:sz="0" w:space="0" w:color="auto"/>
          </w:divBdr>
          <w:divsChild>
            <w:div w:id="1055086797">
              <w:marLeft w:val="0"/>
              <w:marRight w:val="0"/>
              <w:marTop w:val="0"/>
              <w:marBottom w:val="0"/>
              <w:divBdr>
                <w:top w:val="none" w:sz="0" w:space="0" w:color="auto"/>
                <w:left w:val="none" w:sz="0" w:space="0" w:color="auto"/>
                <w:bottom w:val="none" w:sz="0" w:space="0" w:color="auto"/>
                <w:right w:val="none" w:sz="0" w:space="0" w:color="auto"/>
              </w:divBdr>
              <w:divsChild>
                <w:div w:id="93297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39669">
      <w:bodyDiv w:val="1"/>
      <w:marLeft w:val="0"/>
      <w:marRight w:val="0"/>
      <w:marTop w:val="0"/>
      <w:marBottom w:val="0"/>
      <w:divBdr>
        <w:top w:val="none" w:sz="0" w:space="0" w:color="auto"/>
        <w:left w:val="none" w:sz="0" w:space="0" w:color="auto"/>
        <w:bottom w:val="none" w:sz="0" w:space="0" w:color="auto"/>
        <w:right w:val="none" w:sz="0" w:space="0" w:color="auto"/>
      </w:divBdr>
    </w:div>
    <w:div w:id="1504204778">
      <w:bodyDiv w:val="1"/>
      <w:marLeft w:val="0"/>
      <w:marRight w:val="0"/>
      <w:marTop w:val="0"/>
      <w:marBottom w:val="0"/>
      <w:divBdr>
        <w:top w:val="none" w:sz="0" w:space="0" w:color="auto"/>
        <w:left w:val="none" w:sz="0" w:space="0" w:color="auto"/>
        <w:bottom w:val="none" w:sz="0" w:space="0" w:color="auto"/>
        <w:right w:val="none" w:sz="0" w:space="0" w:color="auto"/>
      </w:divBdr>
      <w:divsChild>
        <w:div w:id="1452942544">
          <w:marLeft w:val="0"/>
          <w:marRight w:val="0"/>
          <w:marTop w:val="0"/>
          <w:marBottom w:val="0"/>
          <w:divBdr>
            <w:top w:val="none" w:sz="0" w:space="0" w:color="auto"/>
            <w:left w:val="none" w:sz="0" w:space="0" w:color="auto"/>
            <w:bottom w:val="none" w:sz="0" w:space="0" w:color="auto"/>
            <w:right w:val="none" w:sz="0" w:space="0" w:color="auto"/>
          </w:divBdr>
          <w:divsChild>
            <w:div w:id="1986205650">
              <w:marLeft w:val="0"/>
              <w:marRight w:val="0"/>
              <w:marTop w:val="0"/>
              <w:marBottom w:val="0"/>
              <w:divBdr>
                <w:top w:val="none" w:sz="0" w:space="0" w:color="auto"/>
                <w:left w:val="none" w:sz="0" w:space="0" w:color="auto"/>
                <w:bottom w:val="none" w:sz="0" w:space="0" w:color="auto"/>
                <w:right w:val="none" w:sz="0" w:space="0" w:color="auto"/>
              </w:divBdr>
              <w:divsChild>
                <w:div w:id="1262446806">
                  <w:marLeft w:val="0"/>
                  <w:marRight w:val="0"/>
                  <w:marTop w:val="0"/>
                  <w:marBottom w:val="0"/>
                  <w:divBdr>
                    <w:top w:val="none" w:sz="0" w:space="0" w:color="auto"/>
                    <w:left w:val="none" w:sz="0" w:space="0" w:color="auto"/>
                    <w:bottom w:val="none" w:sz="0" w:space="0" w:color="auto"/>
                    <w:right w:val="none" w:sz="0" w:space="0" w:color="auto"/>
                  </w:divBdr>
                  <w:divsChild>
                    <w:div w:id="185672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78020">
      <w:bodyDiv w:val="1"/>
      <w:marLeft w:val="0"/>
      <w:marRight w:val="0"/>
      <w:marTop w:val="0"/>
      <w:marBottom w:val="0"/>
      <w:divBdr>
        <w:top w:val="none" w:sz="0" w:space="0" w:color="auto"/>
        <w:left w:val="none" w:sz="0" w:space="0" w:color="auto"/>
        <w:bottom w:val="none" w:sz="0" w:space="0" w:color="auto"/>
        <w:right w:val="none" w:sz="0" w:space="0" w:color="auto"/>
      </w:divBdr>
    </w:div>
    <w:div w:id="1704597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ptf.undp.org/document/download/1348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dg.org/docs/2795/Standard-Memorandum-of-Understanding-(MOU),10.30.2008.doc"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mptf.undp.org/document/download/14290" TargetMode="External"/><Relationship Id="rId2" Type="http://schemas.openxmlformats.org/officeDocument/2006/relationships/hyperlink" Target="http://www.undg.org" TargetMode="External"/><Relationship Id="rId1" Type="http://schemas.openxmlformats.org/officeDocument/2006/relationships/hyperlink" Target="file:///C:\Users\eva.saenz\AppData\Local\Microsoft\Windows\AppData\Local\Microsoft\Windows\Temporary%20Internet%20Files\Content.Outlook\VCVNIJJU\mptf.undp.org" TargetMode="External"/><Relationship Id="rId5" Type="http://schemas.openxmlformats.org/officeDocument/2006/relationships/hyperlink" Target="https://undg.org/wp-content/uploads/2015/03/UNDG-Programme-Risk-Management-for-Pooled-Funding-Solutions-in-Conflict-and-Transition-Countries_Final.pdf" TargetMode="External"/><Relationship Id="rId4" Type="http://schemas.openxmlformats.org/officeDocument/2006/relationships/hyperlink" Target="https://undg.org/wp-content/uploads/2015/01/UNDG-RBM-Handbook-2012.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2687B-2E7E-4B6E-94CB-5CCB3B6FC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2498</Words>
  <Characters>14244</Characters>
  <Application>Microsoft Office Word</Application>
  <DocSecurity>4</DocSecurity>
  <Lines>118</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16709</CharactersWithSpaces>
  <SharedDoc>false</SharedDoc>
  <HLinks>
    <vt:vector size="36" baseType="variant">
      <vt:variant>
        <vt:i4>1572940</vt:i4>
      </vt:variant>
      <vt:variant>
        <vt:i4>0</vt:i4>
      </vt:variant>
      <vt:variant>
        <vt:i4>0</vt:i4>
      </vt:variant>
      <vt:variant>
        <vt:i4>5</vt:i4>
      </vt:variant>
      <vt:variant>
        <vt:lpwstr>http://mptf.undp.org/document/download/13486</vt:lpwstr>
      </vt:variant>
      <vt:variant>
        <vt:lpwstr/>
      </vt:variant>
      <vt:variant>
        <vt:i4>3211328</vt:i4>
      </vt:variant>
      <vt:variant>
        <vt:i4>12</vt:i4>
      </vt:variant>
      <vt:variant>
        <vt:i4>0</vt:i4>
      </vt:variant>
      <vt:variant>
        <vt:i4>5</vt:i4>
      </vt:variant>
      <vt:variant>
        <vt:lpwstr>https://undg.org/wp-content/uploads/2015/03/UNDG-Programme-Risk-Management-for-Pooled-Funding-Solutions-in-Conflict-and-Transition-Countries_Final.pdf</vt:lpwstr>
      </vt:variant>
      <vt:variant>
        <vt:lpwstr/>
      </vt:variant>
      <vt:variant>
        <vt:i4>7995491</vt:i4>
      </vt:variant>
      <vt:variant>
        <vt:i4>9</vt:i4>
      </vt:variant>
      <vt:variant>
        <vt:i4>0</vt:i4>
      </vt:variant>
      <vt:variant>
        <vt:i4>5</vt:i4>
      </vt:variant>
      <vt:variant>
        <vt:lpwstr>https://undg.org/wp-content/uploads/2015/01/UNDG-RBM-Handbook-2012.pdf</vt:lpwstr>
      </vt:variant>
      <vt:variant>
        <vt:lpwstr/>
      </vt:variant>
      <vt:variant>
        <vt:i4>1572938</vt:i4>
      </vt:variant>
      <vt:variant>
        <vt:i4>6</vt:i4>
      </vt:variant>
      <vt:variant>
        <vt:i4>0</vt:i4>
      </vt:variant>
      <vt:variant>
        <vt:i4>5</vt:i4>
      </vt:variant>
      <vt:variant>
        <vt:lpwstr>http://mptf.undp.org/document/download/14290</vt:lpwstr>
      </vt:variant>
      <vt:variant>
        <vt:lpwstr/>
      </vt:variant>
      <vt:variant>
        <vt:i4>6684753</vt:i4>
      </vt:variant>
      <vt:variant>
        <vt:i4>3</vt:i4>
      </vt:variant>
      <vt:variant>
        <vt:i4>0</vt:i4>
      </vt:variant>
      <vt:variant>
        <vt:i4>5</vt:i4>
      </vt:variant>
      <vt:variant>
        <vt:lpwstr>http://www.undg.org</vt:lpwstr>
      </vt:variant>
      <vt:variant>
        <vt:lpwstr/>
      </vt:variant>
      <vt:variant>
        <vt:i4>5898269</vt:i4>
      </vt:variant>
      <vt:variant>
        <vt:i4>0</vt:i4>
      </vt:variant>
      <vt:variant>
        <vt:i4>0</vt:i4>
      </vt:variant>
      <vt:variant>
        <vt:i4>5</vt:i4>
      </vt:variant>
      <vt:variant>
        <vt:lpwstr>../../../AppData/Local/Microsoft/Windows/Temporary Internet Files/Content.Outlook/VCVNIJJU/mptf.undp.org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dc:creator>
  <cp:lastModifiedBy>Kirti Deshpande</cp:lastModifiedBy>
  <cp:revision>2</cp:revision>
  <cp:lastPrinted>2015-10-16T20:24:00Z</cp:lastPrinted>
  <dcterms:created xsi:type="dcterms:W3CDTF">2016-10-17T12:37:00Z</dcterms:created>
  <dcterms:modified xsi:type="dcterms:W3CDTF">2016-10-17T12:37:00Z</dcterms:modified>
</cp:coreProperties>
</file>